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342-8k425_logicmar.htm"/>
      <w:bookmarkStart w:id="1" w:name="ksea03003428k425_logicmar"/>
      <w:bookmarkEnd w:id="0"/>
      <w:bookmarkEnd w:id="1"/>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731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July 31,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LogicMark,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D_edei--EntityFileNumber_c20260731"/>
            <w:bookmarkEnd w:id="6"/>
            <w:r>
              <w:rPr>
                <w:rFonts w:ascii="Times New Roman;Times;Serif" w:hAnsi="Times New Roman;Times;Serif"/>
                <w:b/>
                <w:i w:val="false"/>
                <w:caps w:val="false"/>
                <w:smallCaps w:val="false"/>
                <w:sz w:val="20"/>
              </w:rPr>
              <w:t>001-36616</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A_edei--EntityTaxIdentificationNum"/>
            <w:bookmarkEnd w:id="7"/>
            <w:r>
              <w:rPr>
                <w:rFonts w:ascii="Times New Roman;Times;Serif" w:hAnsi="Times New Roman;Times;Serif"/>
                <w:b/>
                <w:i w:val="false"/>
                <w:caps w:val="false"/>
                <w:smallCaps w:val="false"/>
                <w:sz w:val="20"/>
              </w:rPr>
              <w:t>46-0678374</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2801 Diode Lane</w:t>
              <w:br/>
            </w:r>
            <w:bookmarkStart w:id="9" w:name="xdx_90E_edei--EntityAddressCityOrTown_c2"/>
            <w:bookmarkEnd w:id="9"/>
            <w:r>
              <w:rPr>
                <w:rFonts w:ascii="Times New Roman;Times;Serif" w:hAnsi="Times New Roman;Times;Serif"/>
                <w:b/>
                <w:i w:val="false"/>
                <w:caps w:val="false"/>
                <w:smallCaps w:val="false"/>
                <w:sz w:val="20"/>
              </w:rPr>
              <w:t xml:space="preserve">Louisville, </w:t>
            </w:r>
            <w:bookmarkStart w:id="10" w:name="xdx_90F_edei--EntityAddressStateOrProvin"/>
            <w:bookmarkEnd w:id="10"/>
            <w:r>
              <w:rPr>
                <w:rFonts w:ascii="Times New Roman;Times;Serif" w:hAnsi="Times New Roman;Times;Serif"/>
                <w:b/>
                <w:i w:val="false"/>
                <w:caps w:val="false"/>
                <w:smallCaps w:val="false"/>
                <w:sz w:val="20"/>
              </w:rPr>
              <w:t>KY</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2_edei--EntityAddressPostalZipCode"/>
            <w:bookmarkEnd w:id="11"/>
            <w:r>
              <w:rPr>
                <w:rFonts w:ascii="Times New Roman;Times;Serif" w:hAnsi="Times New Roman;Times;Serif"/>
                <w:b/>
                <w:i w:val="false"/>
                <w:caps w:val="false"/>
                <w:smallCaps w:val="false"/>
                <w:sz w:val="20"/>
              </w:rPr>
              <w:t>40299</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7_edei--CityAreaCode_c20260731__20"/>
      <w:bookmarkEnd w:id="12"/>
      <w:r>
        <w:rPr>
          <w:rFonts w:ascii="Times New Roman;Times;Serif" w:hAnsi="Times New Roman;Times;Serif"/>
          <w:b/>
          <w:i w:val="false"/>
          <w:caps w:val="false"/>
          <w:smallCaps w:val="false"/>
          <w:sz w:val="20"/>
        </w:rPr>
        <w:t xml:space="preserve">502) </w:t>
      </w:r>
      <w:bookmarkStart w:id="13" w:name="xdx_90F_edei--LocalPhoneNumber_c20260731"/>
      <w:bookmarkEnd w:id="13"/>
      <w:r>
        <w:rPr>
          <w:rFonts w:ascii="Times New Roman;Times;Serif" w:hAnsi="Times New Roman;Times;Serif"/>
          <w:b/>
          <w:i w:val="false"/>
          <w:caps w:val="false"/>
          <w:smallCaps w:val="false"/>
          <w:sz w:val="20"/>
        </w:rPr>
        <w:t>442-7911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4" w:name="xdx_90B_edei--WrittenCommunications_c202"/>
            <w:bookmarkEnd w:id="14"/>
            <w:r>
              <w:rPr>
                <w:caps w:val="false"/>
                <w:smallCaps w:val="false"/>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283"/>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both"/>
              <w:rPr>
                <w:caps w:val="false"/>
                <w:smallCaps w:val="false"/>
              </w:rPr>
            </w:pPr>
            <w:bookmarkStart w:id="15" w:name="xdx_90D_edei--SolicitingMaterial_c202607"/>
            <w:bookmarkEnd w:id="15"/>
            <w:r>
              <w:rPr>
                <w:caps w:val="false"/>
                <w:smallCaps w:val="false"/>
              </w:rPr>
              <w:t>☐</w:t>
            </w:r>
          </w:p>
        </w:tc>
        <w:tc>
          <w:tcPr>
            <w:tcW w:w="73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6" w:name="xdx_902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7" w:name="xdx_904_edei--PreCommencementIssuerTende"/>
            <w:bookmarkEnd w:id="17"/>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8" w:name="xdx_905_edei--EntityEmergingGrowthCompan"/>
      <w:bookmarkEnd w:id="1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LogicMark, Inc., a Nevada corporation (the “Company”), entered into an Agreement and Plan of Merger (the “Merger Agreement”), dated as of July 31, 2026, by and among Langham Project, LLC, a Nevada limited liability company (“Parent”), and Langham Merger Sub, Inc., a Nevada corporation and wholly owned subsidiary of Parent (“Merger Sub”), pursuant to which, among other matters, and subject to the satisfaction or waiver of the conditions set forth in the Merger Agreement, Merger Sub will merge with and into the Company in accordance with the applicable provisions of the Nevada Revised Statutes of the State of Nevada (“NRS”), with the Company continuing as a wholly-owned subsidiary of Parent (the “Surviving Corporation”) and the surviving corporation of the merger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Merger Agreement, and upon the terms and subject to the conditions set forth in the Merger Agreement, among other things: (i) the current directors and executive officers of the Company as of immediately prior to the effective time of the Merger (the “Effective Time”) will remain as the initial directors and executive officers of the Surviving Corporation, respectively, and (ii) the articles of incorporation and bylaws of the Company, each as amended and in effect as of immediately prior to the Effective Time will be substantially the same as the articles of incorporation and bylaws of the Surviving Corporation; (iii) each share of common stock, par value $0.0001 per share, of Merger Sub that is outstanding as of immediately prior to the Effective Time will be converted into one validly issued, fully paid and nonassessable share of common stock, par value $0.0001 per share, of the Surviving Corporation; (iv) each share of common stock, par value $0.0001 per share, of the Company (the “Common Stock”) that is outstanding as of immediately prior to the Effective Time will be cancelled and extinguished and automatically converted into the right to receive cash in an amount equal to the price per share of $1.31 (the “Merger Price”); (v) each warrant to purchase shares of Common Stock that is outstanding as of immediately prior to the Effective Time will be cancelled and redeemed by the Company; (vi) each option to purchase shares of Common Stock that is outstanding as of immediately prior to the Effective Time will be cancelled and redeemed for a price per option equal to the excess of the Merger Price over the exercise price of such option; and (vii) each share of Series C non-convertible voting preferred stock, par value $0.0001 per share, of the Company that is issued and outstanding immediately prior to the Effective Time, (the “Series C Preferred Stock”), will be redeemed by the Company in accordance with the terms of the certificate of designations of preferences, rights and limitations of the Series C Preferred Stock. If the Merger is completed, the Company expects to pay the holder of the Series C Preferred Stock (the “Series C Holder”) approximately $2 million, plus any accrued and unpaid interest due to the Series C Holder, from cash on hand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the Company is required to file a preliminary proxy statement for a special meeting of its shareholders to approve the Merger and all related proposals (the “Special Meeting”) within 15 business days from the execution of the Merger Agreement and must hold the Special Meeting as soon as reasonably practicable but no earlier than the 45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first mailing of the proxy statement for the Special Meeting to its shareholders. The Merger is conditioned upon obtaining (i) approval by the affirmative vote of holders representing a majority of the aggregate voting power entitled to vote on the Merger, and (ii) approval by the majority of the shares voting at the Special Meeting, excluding shares held by the holder of the Series J preferred stock of the Company, but including shares held by the officers and directors of the Company. Upon consummation of the Merger, the Company and the Parent intend for the Company to cease being a public reporting company upon the filing of a Form 15 and for the Common Stock to cease quotation on the OTCID market operated by the OTC Markets Group, Inc. (the “OTC”) upon filing the requisite documentation with the Financial Industry Regulatory Authority, Inc. (“FINRA”).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Parent and Merger Sub has agreed to customary representations, warranties and covenants in the Merger Agreement, including, among others, covenants relating to (i) obtaining the requisite approvals of the Company’s shareholders (provided that no more than 1% of outstanding shares of Common Stock as of immediately prior to the Effective Time, in the aggregate, exercise or remain entitled to exercise, statutory dissenters’ rights under the NRS), (ii) non-solicitation of alternative acquisition proposals, (iii) redemption of all shares of Series C Preferred Stock (as applicable), (iv) termination of that certain Rights Agreement, dated as of November 1, 2024, by and between Nevada Agency and Transfer Company (“NATCO”) and the Company (the “Rights Agreement”), and (v) no material change to the Company’s business during the period between the date on which the Merger Agreement is executed and the Effective Time. An aggregate of $1,500,000 in fees and expenses incurred in connection with the Merger Agreement and the other transactions contemplated by the Merger Agreement will be paid by the Parent, and all other such fees and expenses incurred in connection therewith the Merger Agreement will be paid by the party incurring such expenses, in each case whether or not the Merger is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certain termination rights of the Company and Parent, including, subject to compliance with the applicable terms of the Merger Agreement, (x) the right to terminate the Merger Agreement at any time prior to the closing of the Merger (“Closing”) upon mutual written consent, whether prior or subsequent to receiving the requisite shareholder approval, (y) the right of either party to terminate the Merger Agreement at any time prior to Closing (i) prior to December 31, 2026 provided that such party is not in material breach, and (ii) if the requisite shareholder approval is not obtained and (z) the Company’s right to terminate the Merger Agreement at any time prior to obtaining the requisite shareholder approval if it exercises its right to a “fiduciary out”, in which case the Company would be required to pay the Parent a $150,000 termination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the Parent intends to appoint NATCO to act as the payment agent for the Merger (the “Payment Agent”), pursuant to a payment agent agreement, whereby the Payment Agent will assist the Company with coordinating the various payments to the Company’s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terms of the Merger Agreement does not purport to be complete and is qualified in its entirety by reference to the full text of the Merger Agreement attached to this Current Report on Form 8-K (this “Form 8-K”) as Exhibit 10.1 and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8-K contains forward-looking statements. Such forward-looking statements include, but are not limited to, statements that express the Company’s intentions, beliefs, expectations, strategies, predictions or any other statements related to the Company’s future activities, or future events or conditions, including the Company’s ability to consummate the proposed Merger and fulfill all of its obligations under the Merger Agreement, the Company’s ability to hold the Special Meeting and obtain shareholder approval of the Merger, and the Company’s ability to redeem the Series C Preferred Stock, and the Company’s ability to terminate the Rights Agreement, the quotation of the Common Stock on the OTC and its public reporting company status, each of which can be identified by terminology such as “may,” “will,” “expects,” “anticipates,” “aims,” “potential,” “future,” “intends,” “plans,” “believes,” “estimates,” “continue,” “likely to” and other similar expressions intended to identify forward-looking statements, although not all forward-looking statements contain these identifying words. These statements are not historical facts and are based on current expectations, estimates and projections about the Company’s business based, in part, on assumptions made by its management. These statements are not guarantees of future performance and involve risks, uncertainties and assumptions that are difficult to predict, many of which are beyond the Company’s control, including risks related to the Company’s ability to successfully obtain regulatory approval from FINRA and the U.S. Securities and Exchange Commission (“SEC”) for the Merger, and other risks that may be included in the definitive proxy statement filed by the Company in connection with the Special Meeting, and the Company’s periodic reports and other filings that the Company files from time to time with the SEC. Therefore, actual outcomes and results may differ materially from what is expressed or forecasted in the forward-looking statements. Any forward-looking statements speak only as of the date on which they are made, and the Company undertakes no obligation to update any forward-looking statement to reflect events or circumstances after the date of this Form 8-K,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28" w:type="dxa"/>
          <w:right w:w="0" w:type="dxa"/>
        </w:tblCellMar>
      </w:tblPr>
      <w:tblGrid>
        <w:gridCol w:w="1205"/>
        <w:gridCol w:w="60"/>
        <w:gridCol w:w="8030"/>
      </w:tblGrid>
      <w:tr>
        <w:trPr/>
        <w:tc>
          <w:tcPr>
            <w:tcW w:w="1205" w:type="dxa"/>
            <w:tcBorders>
              <w:bottom w:val="single" w:sz="12" w:space="0" w:color="000000"/>
            </w:tcBorders>
            <w:vAlign w:val="center"/>
          </w:tcPr>
          <w:p>
            <w:pPr>
              <w:pStyle w:val="TableContents"/>
              <w:bidi w:val="0"/>
              <w:spacing w:before="0" w:after="283"/>
              <w:jc w:val="left"/>
              <w:rPr>
                <w:b/>
                <w:strike w:val="false"/>
                <w:dstrike w:val="false"/>
                <w:u w:val="none"/>
                <w:effect w:val="none"/>
              </w:rPr>
            </w:pPr>
            <w:r>
              <w:rPr>
                <w:b/>
                <w:strike w:val="false"/>
                <w:dstrike w:val="false"/>
                <w:u w:val="none"/>
                <w:effect w:val="none"/>
              </w:rPr>
              <w:t>Exhibit No.</w:t>
            </w:r>
          </w:p>
        </w:tc>
        <w:tc>
          <w:tcPr>
            <w:tcW w:w="60" w:type="dxa"/>
            <w:tcBorders/>
            <w:tcMar>
              <w:bottom w:w="0" w:type="dxa"/>
            </w:tcM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8030" w:type="dxa"/>
            <w:tcBorders>
              <w:bottom w:val="single" w:sz="12" w:space="0" w:color="000000"/>
            </w:tcBorders>
            <w:vAlign w:val="center"/>
          </w:tcPr>
          <w:p>
            <w:pPr>
              <w:pStyle w:val="TableContents"/>
              <w:bidi w:val="0"/>
              <w:spacing w:before="0" w:after="283"/>
              <w:jc w:val="left"/>
              <w:rPr>
                <w:b/>
                <w:strike w:val="false"/>
                <w:dstrike w:val="false"/>
                <w:u w:val="none"/>
                <w:effect w:val="none"/>
              </w:rPr>
            </w:pPr>
            <w:r>
              <w:rPr>
                <w:b/>
                <w:strike w:val="false"/>
                <w:dstrike w:val="false"/>
                <w:u w:val="none"/>
                <w:effect w:val="none"/>
              </w:rPr>
              <w:t>Description</w:t>
            </w:r>
          </w:p>
        </w:tc>
      </w:tr>
      <w:tr>
        <w:trPr/>
        <w:tc>
          <w:tcPr>
            <w:tcW w:w="1205" w:type="dxa"/>
            <w:tcBorders/>
            <w:shd w:fill="CCEEFF" w:val="clear"/>
            <w:tcMar>
              <w:bottom w:w="0" w:type="dxa"/>
            </w:tcMar>
            <w:vAlign w:val="center"/>
          </w:tcPr>
          <w:p>
            <w:pPr>
              <w:pStyle w:val="TableContents"/>
              <w:bidi w:val="0"/>
              <w:spacing w:before="0" w:after="283"/>
              <w:jc w:val="left"/>
              <w:rPr>
                <w:strike w:val="false"/>
                <w:dstrike w:val="false"/>
                <w:u w:val="none"/>
                <w:effect w:val="none"/>
              </w:rPr>
            </w:pPr>
            <w:r>
              <w:rPr>
                <w:strike w:val="false"/>
                <w:dstrike w:val="false"/>
                <w:u w:val="none"/>
                <w:effect w:val="none"/>
              </w:rPr>
              <w:t>10.1</w:t>
            </w:r>
          </w:p>
        </w:tc>
        <w:tc>
          <w:tcPr>
            <w:tcW w:w="60" w:type="dxa"/>
            <w:tcBorders/>
            <w:shd w:fill="CCEEFF" w:val="clear"/>
            <w:tcMar>
              <w:bottom w:w="0" w:type="dxa"/>
            </w:tcM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8030" w:type="dxa"/>
            <w:tcBorders/>
            <w:shd w:fill="CCEEFF" w:val="clear"/>
            <w:tcMar>
              <w:bottom w:w="0" w:type="dxa"/>
            </w:tcMar>
            <w:vAlign w:val="center"/>
          </w:tcPr>
          <w:p>
            <w:pPr>
              <w:pStyle w:val="TableContents"/>
              <w:bidi w:val="0"/>
              <w:spacing w:before="0" w:after="0"/>
              <w:ind w:left="0" w:right="0" w:hanging="0"/>
              <w:jc w:val="left"/>
              <w:rPr/>
            </w:pPr>
            <w:hyperlink w:anchor="ea030034201ex10-1.htm">
              <w:r>
                <w:rPr>
                  <w:rStyle w:val="InternetLink"/>
                  <w:rFonts w:ascii="Times New Roman;Times;Serif" w:hAnsi="Times New Roman;Times;Serif"/>
                  <w:b w:val="false"/>
                  <w:i w:val="false"/>
                  <w:caps w:val="false"/>
                  <w:smallCaps w:val="false"/>
                  <w:sz w:val="20"/>
                </w:rPr>
                <w:t>Merger Agreement, by and among the Company, Parent and Merger Sub, dated as of July 31, 2026.</w:t>
              </w:r>
            </w:hyperlink>
          </w:p>
        </w:tc>
      </w:tr>
      <w:tr>
        <w:trPr/>
        <w:tc>
          <w:tcPr>
            <w:tcW w:w="1205" w:type="dxa"/>
            <w:tcBorders/>
            <w:shd w:fill="FFFFFF" w:val="clear"/>
            <w:tcMar>
              <w:bottom w:w="0" w:type="dxa"/>
            </w:tcMar>
            <w:vAlign w:val="center"/>
          </w:tcPr>
          <w:p>
            <w:pPr>
              <w:pStyle w:val="TableContents"/>
              <w:bidi w:val="0"/>
              <w:spacing w:before="0" w:after="283"/>
              <w:jc w:val="left"/>
              <w:rPr>
                <w:strike w:val="false"/>
                <w:dstrike w:val="false"/>
                <w:u w:val="none"/>
                <w:effect w:val="none"/>
              </w:rPr>
            </w:pPr>
            <w:r>
              <w:rPr>
                <w:strike w:val="false"/>
                <w:dstrike w:val="false"/>
                <w:u w:val="none"/>
                <w:effect w:val="none"/>
              </w:rPr>
              <w:t>104</w:t>
            </w:r>
          </w:p>
        </w:tc>
        <w:tc>
          <w:tcPr>
            <w:tcW w:w="60" w:type="dxa"/>
            <w:tcBorders/>
            <w:shd w:fill="FFFFFF" w:val="clear"/>
            <w:tcMar>
              <w:bottom w:w="0" w:type="dxa"/>
            </w:tcM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8030" w:type="dxa"/>
            <w:tcBorders/>
            <w:shd w:fill="FFFFFF" w:val="clear"/>
            <w:tcMar>
              <w:bottom w:w="0" w:type="dxa"/>
            </w:tcMar>
            <w:vAlign w:val="center"/>
          </w:tcPr>
          <w:p>
            <w:pPr>
              <w:pStyle w:val="TableContents"/>
              <w:bidi w:val="0"/>
              <w:spacing w:before="0" w:after="283"/>
              <w:jc w:val="left"/>
              <w:rPr>
                <w:strike w:val="false"/>
                <w:dstrike w:val="false"/>
                <w:u w:val="none"/>
                <w:effect w:val="none"/>
              </w:rPr>
            </w:pPr>
            <w:r>
              <w:rPr>
                <w:strike w:val="false"/>
                <w:dstrike w:val="false"/>
                <w:u w:val="none"/>
                <w:effect w:val="none"/>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610" w:type="dxa"/>
        <w:jc w:val="left"/>
        <w:tblInd w:w="0" w:type="dxa"/>
        <w:tblLayout w:type="fixed"/>
        <w:tblCellMar>
          <w:top w:w="0" w:type="dxa"/>
          <w:left w:w="0" w:type="dxa"/>
          <w:bottom w:w="0" w:type="dxa"/>
          <w:right w:w="0" w:type="dxa"/>
        </w:tblCellMar>
      </w:tblPr>
      <w:tblGrid>
        <w:gridCol w:w="1760"/>
        <w:gridCol w:w="365"/>
        <w:gridCol w:w="590"/>
        <w:gridCol w:w="1895"/>
      </w:tblGrid>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 2026</w:t>
            </w:r>
          </w:p>
        </w:tc>
        <w:tc>
          <w:tcPr>
            <w:tcW w:w="285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LogicMark,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48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Archer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8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Archer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9" w:name="ea030034201ex10-1.htm"/>
      <w:bookmarkStart w:id="20" w:name="ksea030034201ex101"/>
      <w:bookmarkEnd w:id="19"/>
      <w:bookmarkEnd w:id="20"/>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LANGHAM PROJECT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LANGHAM MERGER SUB,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LOGICMARK,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July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rPr>
      </w:pPr>
      <w:r>
        <w:rPr>
          <w:rFonts w:ascii="Times New Roman;Times;Serif" w:hAnsi="Times New Roman;Times;Serif"/>
          <w:b/>
        </w:rPr>
        <w:t>TABLE OF CONTENTS</w:t>
      </w:r>
    </w:p>
    <w:p>
      <w:pPr>
        <w:pStyle w:val="TextBody"/>
        <w:bidi w:val="0"/>
        <w:spacing w:before="0" w:after="283"/>
        <w:jc w:val="left"/>
        <w:rPr/>
      </w:pPr>
      <w:r>
        <w:rPr/>
        <w:t> </w:t>
      </w:r>
    </w:p>
    <w:tbl>
      <w:tblPr>
        <w:tblW w:w="8820" w:type="dxa"/>
        <w:jc w:val="left"/>
        <w:tblInd w:w="0" w:type="dxa"/>
        <w:tblLayout w:type="fixed"/>
        <w:tblCellMar>
          <w:top w:w="0" w:type="dxa"/>
          <w:left w:w="0" w:type="dxa"/>
          <w:bottom w:w="0" w:type="dxa"/>
          <w:right w:w="0" w:type="dxa"/>
        </w:tblCellMar>
      </w:tblPr>
      <w:tblGrid>
        <w:gridCol w:w="485"/>
        <w:gridCol w:w="8090"/>
        <w:gridCol w:w="245"/>
      </w:tblGrid>
      <w:tr>
        <w:trPr/>
        <w:tc>
          <w:tcPr>
            <w:tcW w:w="8575"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857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THE MERGER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1.1.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of Merger Sub into the Company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1.2.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the Merger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1.3.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Closing</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1.4.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Time of the Merger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1.5.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Articles of Incorporation and Bylaws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1.6.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and Officers.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8575"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857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CONVERSION OF STOCK; SURRENDER OF CERTIFICATES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2.1.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Merger on Capital Stock</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2.2.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Equity-Based Awards and Warrants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2.3.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of Certificates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2.4.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Further Ownership Rights in Company Common Stock, Company Awards or Company Warrants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2.5.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Lost, Stolen or Destroyed Certificates or Warrant Certificates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2.6.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Required Withholding</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2.7.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Dividends or Distributions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2.8.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Necessary Further Actions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8575"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857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REPRESENTATIONS AND WARRANTIES OF THE COMPANY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3.1.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Organization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3.2.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3.3.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Execution and Delivery; Enforceability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3.4.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Conflicts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3.5.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Documents; Financial Statements; Undisclosed Liabilities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3.6.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Certain Changes or Events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3.7.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Proxy Statement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3.8.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Proceedings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3.9.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 and Orders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3.10.</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3.11.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 Plans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3.12.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and Labor Matters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3.13.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3.14.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 Title to Assets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3.15.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3.16.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3.17.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 Privacy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3.18.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 Fees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3.19. </w:t>
            </w:r>
          </w:p>
        </w:tc>
        <w:tc>
          <w:tcPr>
            <w:tcW w:w="8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Opinion of Financial Advisor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3.20. </w:t>
            </w:r>
          </w:p>
        </w:tc>
        <w:tc>
          <w:tcPr>
            <w:tcW w:w="8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164" w:type="dxa"/>
        <w:jc w:val="left"/>
        <w:tblInd w:w="0" w:type="dxa"/>
        <w:tblLayout w:type="fixed"/>
        <w:tblCellMar>
          <w:top w:w="0" w:type="dxa"/>
          <w:left w:w="0" w:type="dxa"/>
          <w:bottom w:w="0" w:type="dxa"/>
          <w:right w:w="0" w:type="dxa"/>
        </w:tblCellMar>
      </w:tblPr>
      <w:tblGrid>
        <w:gridCol w:w="547"/>
        <w:gridCol w:w="6372"/>
        <w:gridCol w:w="245"/>
      </w:tblGrid>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3.21.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Person Transactions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3.22.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3.23.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Suppliers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3.24.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Exclusivity of Representations and Warranties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6919"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691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REPRESENTATIONS AND WARRANTIES OF THE BUYER PARTIES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4.1.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 Good Standing</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4.2.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Execution and Delivery; Enforceability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4.3.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4.4.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Requisite Governmental Approvals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4.5.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Proceedings; Orders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4.6.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4.7.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Operations of Merger Sub</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4.8.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Proxy Statement; Schedule 13e-3</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4.9.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Sufficient Funds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4.10.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and Management Arrangements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4.11.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Solvency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4.12.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Buyer Parties’ Investigation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4.13.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Exclusivity of Representations and Warranties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6919"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691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INTERIM OPERATIONS OF THE COMPANY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5.1.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Affirmative Obligations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5.2.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Solicitation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6919"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691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ADDITIONAL COVENANTS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6.1.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Required Action and Forbearance; Efforts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6.2.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 Filings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6.3.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Proxy Statement, Schedule 13e-3 and Other Required SEC Filings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6.4.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Meeting</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6.5.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Anti-Takeover Laws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6.6.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6.7.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16(b) Exemption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6.8.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and Officers’ Exculpation, Indemnification and Insurance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6.9.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Notification of Certain Matters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6.10.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Statements and Disclosure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6.11.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Litigation; Transaction Litigation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6.12.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OTC Delisting; Deregistration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6.13.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Agreements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6.14.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Control of the Other Party’s Business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54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6.15. </w:t>
            </w:r>
          </w:p>
        </w:tc>
        <w:tc>
          <w:tcPr>
            <w:tcW w:w="63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Agreement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5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6.16. </w:t>
            </w:r>
          </w:p>
        </w:tc>
        <w:tc>
          <w:tcPr>
            <w:tcW w:w="6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Required Notices and Consents Under Company Disclosure Schedule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330" w:type="dxa"/>
        <w:jc w:val="left"/>
        <w:tblInd w:w="0" w:type="dxa"/>
        <w:tblLayout w:type="fixed"/>
        <w:tblCellMar>
          <w:top w:w="0" w:type="dxa"/>
          <w:left w:w="0" w:type="dxa"/>
          <w:bottom w:w="0" w:type="dxa"/>
          <w:right w:w="0" w:type="dxa"/>
        </w:tblCellMar>
      </w:tblPr>
      <w:tblGrid>
        <w:gridCol w:w="485"/>
        <w:gridCol w:w="5570"/>
        <w:gridCol w:w="275"/>
      </w:tblGrid>
      <w:tr>
        <w:trPr/>
        <w:tc>
          <w:tcPr>
            <w:tcW w:w="6055"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CONDITIONS TO THE MERGER</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7.1.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Each Party’s Obligations to Effect the Merger</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7.2.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the Obligations of the Buyer Parties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7.3.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the Obligations of the Company to Effect the Merger</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055"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605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TERMINATION</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8.1.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8.2.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Manner and Notice of Termination; Effect of Termination; Payments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6055"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605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IX GENERAL PROVISIONS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9.1.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 of Representations, Warranties and Covenants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9.2.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9.3.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9.4.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9.5.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Extension; Waiver</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9.6.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9.7.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9.8.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 Party Beneficiaries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46</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9.9.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9.10.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Remedies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46</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9.11.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9.12.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47</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9.13.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Schedule References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9.14.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9.15.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Limitation</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9.16.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Interpretations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9.17.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 and Expenses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9.18.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Non-recourse</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6055"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605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 CERTAIN DEFINITIONS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4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10.1. </w:t>
            </w:r>
          </w:p>
        </w:tc>
        <w:tc>
          <w:tcPr>
            <w:tcW w:w="5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Definitions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4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10.2. </w:t>
            </w:r>
          </w:p>
        </w:tc>
        <w:tc>
          <w:tcPr>
            <w:tcW w:w="5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Definitions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July 31, 2026, by and among Langham Project, LLC, a Nevada limited liability company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Langham Merger Sub, Inc., a Nevada corporation and wholly owned subsidiary of Parent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together with Parent, the “</w:t>
      </w:r>
      <w:r>
        <w:rPr>
          <w:rFonts w:ascii="Times New Roman;Times;Serif" w:hAnsi="Times New Roman;Times;Serif"/>
          <w:b/>
          <w:i w:val="false"/>
          <w:caps w:val="false"/>
          <w:smallCaps w:val="false"/>
          <w:sz w:val="20"/>
        </w:rPr>
        <w:t>Buyer Parties</w:t>
      </w:r>
      <w:r>
        <w:rPr>
          <w:rFonts w:ascii="Times New Roman;Times;Serif" w:hAnsi="Times New Roman;Times;Serif"/>
          <w:b w:val="false"/>
          <w:i w:val="false"/>
          <w:caps w:val="false"/>
          <w:smallCaps w:val="false"/>
          <w:sz w:val="20"/>
        </w:rPr>
        <w:t>”), LogicMark, Inc.,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Each of Parent, Merger Sub, and the Company are sometimes referred to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All capitalized terms that are used in this Agreement have the respective meanings given to them in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WHEREAS, Parent, Merger Sub and the Company intend to effect a merger of Merger Sub with and into the Company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the Company surviving the Merger in accordance with this Agreement and the Nevada Revised Statutes (as amended from time to time, the “</w:t>
      </w:r>
      <w:r>
        <w:rPr>
          <w:rFonts w:ascii="Times New Roman;Times;Serif" w:hAnsi="Times New Roman;Times;Serif"/>
          <w:b/>
          <w:i w:val="false"/>
          <w:caps w:val="false"/>
          <w:smallCaps w:val="false"/>
          <w:sz w:val="20"/>
        </w:rPr>
        <w:t>NRS</w:t>
      </w:r>
      <w:r>
        <w:rPr>
          <w:rFonts w:ascii="Times New Roman;Times;Serif" w:hAnsi="Times New Roman;Times;Serif"/>
          <w:b w:val="false"/>
          <w:i w:val="false"/>
          <w:caps w:val="false"/>
          <w:smallCaps w:val="false"/>
          <w:sz w:val="20"/>
        </w:rPr>
        <w:t>”). Upon consummation of the Merger, Merger Sub will cease to exist as a separate entity, and the Company will become a subsidiary of Parent (the “</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WHEREAS, the board of directors of the Company (the “</w:t>
      </w:r>
      <w:r>
        <w:rPr>
          <w:rFonts w:ascii="Times New Roman;Times;Serif" w:hAnsi="Times New Roman;Times;Serif"/>
          <w:b/>
          <w:i w:val="false"/>
          <w:caps w:val="false"/>
          <w:smallCaps w:val="false"/>
          <w:sz w:val="20"/>
        </w:rPr>
        <w:t>Company Board</w:t>
      </w:r>
      <w:r>
        <w:rPr>
          <w:rFonts w:ascii="Times New Roman;Times;Serif" w:hAnsi="Times New Roman;Times;Serif"/>
          <w:b w:val="false"/>
          <w:i w:val="false"/>
          <w:caps w:val="false"/>
          <w:smallCaps w:val="false"/>
          <w:sz w:val="20"/>
        </w:rPr>
        <w:t>”) has unanimously (i) determined that the entry into this Agreement and the consummation of the other transactions contemplated hereby, including the Merger (collectively, the “</w:t>
      </w:r>
      <w:r>
        <w:rPr>
          <w:rFonts w:ascii="Times New Roman;Times;Serif" w:hAnsi="Times New Roman;Times;Serif"/>
          <w:b/>
          <w:i w:val="false"/>
          <w:caps w:val="false"/>
          <w:smallCaps w:val="false"/>
          <w:sz w:val="20"/>
        </w:rPr>
        <w:t>Merger Transactions</w:t>
      </w:r>
      <w:r>
        <w:rPr>
          <w:rFonts w:ascii="Times New Roman;Times;Serif" w:hAnsi="Times New Roman;Times;Serif"/>
          <w:b w:val="false"/>
          <w:i w:val="false"/>
          <w:caps w:val="false"/>
          <w:smallCaps w:val="false"/>
          <w:sz w:val="20"/>
        </w:rPr>
        <w:t>”), are advisable and fair to, and in the best interests of, the Company, (ii) adopted this Agreement and any document or instrument delivered in connection with this Agreement (the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and authorized and approved the execution, delivery and performance by the Company of this Agreement and the consummation of the Merger Transactions, and (iii) subject to the terms and conditions of this Agreement, recommended that the Company Stockholders approve this Agreement and the Merger Transactions (the “</w:t>
      </w:r>
      <w:r>
        <w:rPr>
          <w:rFonts w:ascii="Times New Roman;Times;Serif" w:hAnsi="Times New Roman;Times;Serif"/>
          <w:b/>
          <w:i w:val="false"/>
          <w:caps w:val="false"/>
          <w:smallCaps w:val="false"/>
          <w:sz w:val="20"/>
        </w:rPr>
        <w:t>Company Board Recommendation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WHEREAS, the board of directors or other governing body, as applicable, of each of Parent and Merger Sub has (i) determined that the entry into this Agreement and the consummation of the Merger Transactions, including the Merger, are advisable and fair to, and in the best interest of Parent and Merger Sub, and (ii) adopted, authorized and approved, pursuant to NRS 92A.120, and declared advisable the execution, delivery and performance by each of Parent and Merger Sub of this Agreement and the consummation of the Merger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WHEREAS, Parent, in its capacity as sole stockholder of Merger Sub, will approve this Agreement by written consent promptly following its execution.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WHEREAS, the Buyer Parties and the Company desire to: (a) make certain representations, warranties, covenants and agreements in connection with this Agreement and the Merger; and (b) prescribe certain conditions with respect to the consummation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the Buyer Parties and the Company agree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THE MERGER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caps w:val="false"/>
          <w:smallCaps w:val="false"/>
          <w:sz w:val="20"/>
        </w:rPr>
        <w:t>Merger of Merger Sub into the Company</w:t>
      </w:r>
      <w:r>
        <w:rPr>
          <w:rFonts w:ascii="Times New Roman;Times;Serif" w:hAnsi="Times New Roman;Times;Serif"/>
          <w:b w:val="false"/>
          <w:i w:val="false"/>
          <w:caps w:val="false"/>
          <w:smallCaps w:val="false"/>
          <w:sz w:val="20"/>
        </w:rPr>
        <w:t>. Upon the terms and subject to the conditions set forth in this Agreement and in accordance with the NRS, at the Effective Time, the Parties shall consummate the Merger, whereby Merger Sub shall be merged with and into the Company, the separate existence of Merger Sub shall cease and the Company will continue as the Surviving Corporation.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caps w:val="false"/>
          <w:smallCaps w:val="false"/>
          <w:sz w:val="20"/>
        </w:rPr>
        <w:t>Effect of the Merger</w:t>
      </w:r>
      <w:r>
        <w:rPr>
          <w:rFonts w:ascii="Times New Roman;Times;Serif" w:hAnsi="Times New Roman;Times;Serif"/>
          <w:b w:val="false"/>
          <w:i w:val="false"/>
          <w:caps w:val="false"/>
          <w:smallCaps w:val="false"/>
          <w:sz w:val="20"/>
        </w:rPr>
        <w:t>. The Merger shall have the effects set forth in this Agreement and in the applicable provisions of the NRS. Without limiting the generality of the foregoing, and subject thereto, at the Effective Time, except as otherwise agreed pursuant to the terms of this Agreement, all of the property, rights, privileges, powers and franchises of the Company and Merger Sub shall vest in the Surviving Corporation, and all debts, liabilities and duties of the Company and Merger Sub shall become the debts, liabilities and duties of the Surviving Corporation, and the separate existence of Merger Sub shall cease</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caps w:val="false"/>
          <w:smallCaps w:val="false"/>
          <w:sz w:val="20"/>
        </w:rPr>
        <w:t>The Closing</w:t>
      </w:r>
      <w:r>
        <w:rPr>
          <w:rFonts w:ascii="Times New Roman;Times;Serif" w:hAnsi="Times New Roman;Times;Serif"/>
          <w:b w:val="false"/>
          <w:i w:val="false"/>
          <w:caps w:val="false"/>
          <w:smallCaps w:val="false"/>
          <w:sz w:val="20"/>
        </w:rPr>
        <w:t xml:space="preserve">. Unless this Agreement shall have been terminated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and unless otherwise mutually agreed in writing by the Parties, the consummation of the Merger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shall take place remotely by electronic exchange of deliverables on the second (2nd) business day following the satisfaction or waiver (to the extent such waiver is permitted by this Agreement or Law) of the conditions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(except for those conditions to the Closing that by their nature are to be satisfied at the Closing, but subject to the satisfaction or waiver of such conditions at or prior to the Closing). The date on which the Closing actually occurs is referred to in this Agreement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caps w:val="false"/>
          <w:smallCaps w:val="false"/>
          <w:sz w:val="20"/>
        </w:rPr>
        <w:t>Effective Time of the Merger</w:t>
      </w:r>
      <w:r>
        <w:rPr>
          <w:rFonts w:ascii="Times New Roman;Times;Serif" w:hAnsi="Times New Roman;Times;Serif"/>
          <w:b w:val="false"/>
          <w:i w:val="false"/>
          <w:caps w:val="false"/>
          <w:smallCaps w:val="false"/>
          <w:sz w:val="20"/>
        </w:rPr>
        <w:t>. Subject to the provisions of this Agreement, at the Closing, the Company and Merger Sub shall file or cause to be filed the articles of merger with the Nevada Secretary of State with respect to the Merger as provided in and in accordance with the applicable provisions of the NRS and make all other filings or recordings required by the NRS in connection with effecting the Merger, in such form as required by, and executed and acknowledged in accordance with, the NRS. The Merger shall become effective upon the date and time of the filing of such articles of merger with the Nevada Secretary of State or such later effective date and time permitted under the NRS as is agreed upon in writing by the Parties hereto and specified in the articles of merger (such date and time,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caps w:val="false"/>
          <w:smallCaps w:val="false"/>
          <w:sz w:val="20"/>
        </w:rPr>
        <w:t>Articles of Incorporation and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Articles of Incorporation</w:t>
      </w:r>
      <w:r>
        <w:rPr>
          <w:rFonts w:ascii="Times New Roman;Times;Serif" w:hAnsi="Times New Roman;Times;Serif"/>
          <w:b w:val="false"/>
          <w:i w:val="false"/>
          <w:caps w:val="false"/>
          <w:smallCaps w:val="false"/>
          <w:sz w:val="20"/>
        </w:rPr>
        <w:t>. At the Effective Time, the current Articles of Incorporation of the Company (together with all amendments and certificates of designation, as amended, the “</w:t>
      </w:r>
      <w:r>
        <w:rPr>
          <w:rFonts w:ascii="Times New Roman;Times;Serif" w:hAnsi="Times New Roman;Times;Serif"/>
          <w:b/>
          <w:i w:val="false"/>
          <w:caps w:val="false"/>
          <w:smallCaps w:val="false"/>
          <w:sz w:val="20"/>
        </w:rPr>
        <w:t>Existing Charter</w:t>
      </w:r>
      <w:r>
        <w:rPr>
          <w:rFonts w:ascii="Times New Roman;Times;Serif" w:hAnsi="Times New Roman;Times;Serif"/>
          <w:b w:val="false"/>
          <w:i w:val="false"/>
          <w:caps w:val="false"/>
          <w:smallCaps w:val="false"/>
          <w:sz w:val="20"/>
        </w:rPr>
        <w:t>”) will become the articles of incorporation of the Surviving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Bylaws</w:t>
      </w:r>
      <w:r>
        <w:rPr>
          <w:rFonts w:ascii="Times New Roman;Times;Serif" w:hAnsi="Times New Roman;Times;Serif"/>
          <w:b w:val="false"/>
          <w:i w:val="false"/>
          <w:caps w:val="false"/>
          <w:smallCaps w:val="false"/>
          <w:sz w:val="20"/>
        </w:rPr>
        <w:t>. At the Effective Time, the Bylaws of the Company (the “</w:t>
      </w:r>
      <w:r>
        <w:rPr>
          <w:rFonts w:ascii="Times New Roman;Times;Serif" w:hAnsi="Times New Roman;Times;Serif"/>
          <w:b/>
          <w:i w:val="false"/>
          <w:caps w:val="false"/>
          <w:smallCaps w:val="false"/>
          <w:sz w:val="20"/>
        </w:rPr>
        <w:t>Existing Bylaws</w:t>
      </w:r>
      <w:r>
        <w:rPr>
          <w:rFonts w:ascii="Times New Roman;Times;Serif" w:hAnsi="Times New Roman;Times;Serif"/>
          <w:b w:val="false"/>
          <w:i w:val="false"/>
          <w:caps w:val="false"/>
          <w:smallCaps w:val="false"/>
          <w:sz w:val="20"/>
        </w:rPr>
        <w:t>”), will become the bylaws of the Surviving Corporation.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caps w:val="false"/>
          <w:smallCaps w:val="false"/>
          <w:sz w:val="20"/>
        </w:rPr>
        <w:t>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Directors</w:t>
      </w:r>
      <w:r>
        <w:rPr>
          <w:rFonts w:ascii="Times New Roman;Times;Serif" w:hAnsi="Times New Roman;Times;Serif"/>
          <w:b w:val="false"/>
          <w:i w:val="false"/>
          <w:caps w:val="false"/>
          <w:smallCaps w:val="false"/>
          <w:sz w:val="20"/>
        </w:rPr>
        <w:t>. At the Effective Time, the initial directors of the Surviving Corporation will be the directors of the Company as of immediately prior to the Effective Time, each to hold office in accordance with the Existing Charter and Existing Bylaws until their respective successors are duly elected or appointed and qualified.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Officers</w:t>
      </w:r>
      <w:r>
        <w:rPr>
          <w:rFonts w:ascii="Times New Roman;Times;Serif" w:hAnsi="Times New Roman;Times;Serif"/>
          <w:b w:val="false"/>
          <w:i w:val="false"/>
          <w:caps w:val="false"/>
          <w:smallCaps w:val="false"/>
          <w:sz w:val="20"/>
        </w:rPr>
        <w:t>. At the Effective Time, the initial officers of the Surviving Corporation will be the officers of the Company as of immediately prior to the Effective Time, each to hold office in accordance with the Existing Charter and Existing Bylaws until their respective successors are duly appointed; provided, however, that Parent shall not replace the Chief Executive Officer of the Surviving Corporation as of the Effective Time for a period of one (1) year following the Effective Time, except in accordance with the terms of such Chief Executive Officer’s employment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OF STOCK; SURRENDER OF CERTIFICATES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caps w:val="false"/>
          <w:smallCaps w:val="false"/>
          <w:sz w:val="20"/>
        </w:rPr>
        <w:t>Effect of Merger on Capital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 xml:space="preserve">Capital Stock. </w:t>
      </w:r>
      <w:r>
        <w:rPr>
          <w:rFonts w:ascii="Times New Roman;Times;Serif" w:hAnsi="Times New Roman;Times;Serif"/>
          <w:b w:val="false"/>
          <w:i w:val="false"/>
          <w:caps w:val="false"/>
          <w:smallCaps w:val="false"/>
          <w:sz w:val="20"/>
        </w:rPr>
        <w:t>Upon the terms and subject to the conditions set forth in this Agreement, at the Effective Time, by virtue of the Merger and without any action on the part of Parent, Merger Sub, the Company or the holders of any of the following securities, the following will occur: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share of common stock, par value $0.0001 per share, of Merger Sub that is outstanding as of immediately prior to the Effective Time will be converted into one validly issued, fully paid and nonassessable share of common stock, par value $0.0001 per share, of the Surviving Corporation, and thereupon each certificate representing ownership of such shares of common stock of Merger Sub will thereafter represent ownership of shares of common stock of the Surviving Corporation;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share of Company Common Stock that is outstanding as of immediately prior to the Effective Time (other than Dissenting Company Shares) will be cancelled and extinguished and automatically converted into the right to receive cash in an amount equal to $1.31 per share of Company Common Stock, without any interest thereon and subject to applicable withholding in accordance with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Per Share Price</w:t>
      </w:r>
      <w:r>
        <w:rPr>
          <w:rFonts w:ascii="Times New Roman;Times;Serif" w:hAnsi="Times New Roman;Times;Serif"/>
          <w:b w:val="false"/>
          <w:i w:val="false"/>
          <w:caps w:val="false"/>
          <w:smallCaps w:val="false"/>
          <w:sz w:val="20"/>
        </w:rPr>
        <w:t xml:space="preserve">”), payable upon surrender of such shares in accordance with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and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each share of Series C non-convertible preferred stock, par value $0.0001 per share, of the Company that is issued and outstanding immediately prior to the Effective Time, shall be fully redeemed, terminated or amended pursuant to </w:t>
      </w:r>
      <w:r>
        <w:rPr>
          <w:rFonts w:ascii="Times New Roman;Times;Serif" w:hAnsi="Times New Roman;Times;Serif"/>
          <w:b w:val="false"/>
          <w:i w:val="false"/>
          <w:caps w:val="false"/>
          <w:smallCaps w:val="false"/>
          <w:sz w:val="20"/>
          <w:u w:val="single"/>
        </w:rPr>
        <w:t>Section 7.2(g)</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Series C Preferred Stock</w:t>
      </w:r>
      <w:r>
        <w:rPr>
          <w:rFonts w:ascii="Times New Roman;Times;Serif" w:hAnsi="Times New Roman;Times;Serif"/>
          <w:b w:val="false"/>
          <w:i w:val="false"/>
          <w:caps w:val="false"/>
          <w:smallCaps w:val="false"/>
          <w:sz w:val="20"/>
        </w:rPr>
        <w:t>”). If the Series C Preferred Stock has not been redeemed and terminated prior to the Effective time, it shall not be converted or exchanged in the Merger, but shall remain issued and outstanding as amended hereof following the Effective Time and shall represent one validly issued, fully paid and nonassessable share of Series C Preferred Stock of the Surviving Corporation, with the same rights, preferences and privileges as in effect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 Adjustment to the Per Share Price. </w:t>
      </w:r>
      <w:r>
        <w:rPr>
          <w:rFonts w:ascii="Times New Roman;Times;Serif" w:hAnsi="Times New Roman;Times;Serif"/>
          <w:b w:val="false"/>
          <w:i w:val="false"/>
          <w:caps w:val="false"/>
          <w:smallCaps w:val="false"/>
          <w:sz w:val="20"/>
        </w:rPr>
        <w:t>The Per Share Price will be adjusted appropriately to reflect the effect of any stock split, reverse stock split, stock distribution or dividend (including any dividend or other distribution of securities convertible into Company Common Stock), reorganization, recapitalization, reclassification, combination, exchange of shares or other similar change with respect to Company Common Stock, occurring on or after the date hereof and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 Dissenter’s Rights</w:t>
      </w:r>
      <w:r>
        <w:rPr>
          <w:rFonts w:ascii="Times New Roman;Times;Serif" w:hAnsi="Times New Roman;Times;Serif"/>
          <w:b w:val="false"/>
          <w:i w:val="false"/>
          <w:caps w:val="false"/>
          <w:smallCaps w:val="false"/>
          <w:sz w:val="20"/>
        </w:rPr>
        <w:t>. Dissenting shareholders of Company shall have the dissenters rights accorded to them under the NRS. All amounts that are finally determined to be due to holders of issued and outstanding Dissenting Company Shares pursuant to statutory dissenters’ rights effectively exercised by them shall be paid by the Surviving Corporation. The holders of Dissenting Company Shares shall be advised of their statutory dissenters’ rights and provided a copy of the statutes setting forth their dissenters rights as set forth in the NRS. Any shares of Company Common Stock held by a holder that did not vote or consent in writing to the Merger (each a “</w:t>
      </w:r>
      <w:r>
        <w:rPr>
          <w:rFonts w:ascii="Times New Roman;Times;Serif" w:hAnsi="Times New Roman;Times;Serif"/>
          <w:b/>
          <w:i w:val="false"/>
          <w:caps w:val="false"/>
          <w:smallCaps w:val="false"/>
          <w:sz w:val="20"/>
        </w:rPr>
        <w:t>Dissenting Company Share</w:t>
      </w:r>
      <w:r>
        <w:rPr>
          <w:rFonts w:ascii="Times New Roman;Times;Serif" w:hAnsi="Times New Roman;Times;Serif"/>
          <w:b w:val="false"/>
          <w:i w:val="false"/>
          <w:caps w:val="false"/>
          <w:smallCaps w:val="false"/>
          <w:sz w:val="20"/>
        </w:rPr>
        <w:t>” and collectively “</w:t>
      </w:r>
      <w:r>
        <w:rPr>
          <w:rFonts w:ascii="Times New Roman;Times;Serif" w:hAnsi="Times New Roman;Times;Serif"/>
          <w:b/>
          <w:i w:val="false"/>
          <w:caps w:val="false"/>
          <w:smallCaps w:val="false"/>
          <w:sz w:val="20"/>
        </w:rPr>
        <w:t>Dissenting Company Shares</w:t>
      </w:r>
      <w:r>
        <w:rPr>
          <w:rFonts w:ascii="Times New Roman;Times;Serif" w:hAnsi="Times New Roman;Times;Serif"/>
          <w:b w:val="false"/>
          <w:i w:val="false"/>
          <w:caps w:val="false"/>
          <w:smallCaps w:val="false"/>
          <w:sz w:val="20"/>
        </w:rPr>
        <w:t>”) and who properly demands payment for their Dissenting Company Shares in accordance with the NRS (each a “</w:t>
      </w:r>
      <w:r>
        <w:rPr>
          <w:rFonts w:ascii="Times New Roman;Times;Serif" w:hAnsi="Times New Roman;Times;Serif"/>
          <w:b/>
          <w:i w:val="false"/>
          <w:caps w:val="false"/>
          <w:smallCaps w:val="false"/>
          <w:sz w:val="20"/>
        </w:rPr>
        <w:t>Dissenting Shareholder</w:t>
      </w:r>
      <w:r>
        <w:rPr>
          <w:rFonts w:ascii="Times New Roman;Times;Serif" w:hAnsi="Times New Roman;Times;Serif"/>
          <w:b w:val="false"/>
          <w:i w:val="false"/>
          <w:caps w:val="false"/>
          <w:smallCaps w:val="false"/>
          <w:sz w:val="20"/>
        </w:rPr>
        <w:t xml:space="preserve">”) shall not be converted as set forth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above, but instead shall be converted into the right to receive consideration to be due to a Dissenting Shareholder pursuant to the NRS, unless such holder fails to protect or withdraws or otherwise loses his dissenters’ rights. In the event that any dissenters’ rights are not exercised by a holder of the Dissenting Company Shares, are otherwise not prosecuted to a conclusion, or are dismissed for any other reason then, and in that event, the holder of such Dissenting Company Shares shall no longer be deemed to a Dissenting Shareholder and such holder’s Dissenting Company Shares shall be deemed to have been converted at the Effective Time as set forth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above.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caps w:val="false"/>
          <w:smallCaps w:val="false"/>
          <w:sz w:val="20"/>
        </w:rPr>
        <w:t>Equity-Based Awards and Warrants.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Treatment of Company Restricted Stock Units</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 Vested Company RSUs</w:t>
      </w:r>
      <w:r>
        <w:rPr>
          <w:rFonts w:ascii="Times New Roman;Times;Serif" w:hAnsi="Times New Roman;Times;Serif"/>
          <w:b w:val="false"/>
          <w:i w:val="false"/>
          <w:caps w:val="false"/>
          <w:smallCaps w:val="false"/>
          <w:sz w:val="20"/>
        </w:rPr>
        <w:t>. Each outstanding Company RSU that, as of immediately prior to the Effective Time, is vested by its terms, after taking into account any accelerated vesting that is permitted or required in connection with the Merger (“</w:t>
      </w:r>
      <w:r>
        <w:rPr>
          <w:rFonts w:ascii="Times New Roman;Times;Serif" w:hAnsi="Times New Roman;Times;Serif"/>
          <w:b/>
          <w:i w:val="false"/>
          <w:caps w:val="false"/>
          <w:smallCaps w:val="false"/>
          <w:sz w:val="20"/>
        </w:rPr>
        <w:t>Vested Company RSUs</w:t>
      </w:r>
      <w:r>
        <w:rPr>
          <w:rFonts w:ascii="Times New Roman;Times;Serif" w:hAnsi="Times New Roman;Times;Serif"/>
          <w:b w:val="false"/>
          <w:i w:val="false"/>
          <w:caps w:val="false"/>
          <w:smallCaps w:val="false"/>
          <w:sz w:val="20"/>
        </w:rPr>
        <w:t>”), shall, by virtue of the Merger and without any action on the part of Parent, Merger Sub, the Company or the holders thereof, be cancelled and converted into the right to receive (without any interest) an amount in cash equal to (A) the total number of shares of Company Common Stock underlying such Vested Company RSUs, multiplied by (B) the Per Share Price, subject to reduction for any applicable withholding or other Taxes required by applicable law.</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(ii). Unvested Company RSUs</w:t>
      </w:r>
      <w:r>
        <w:rPr>
          <w:rFonts w:ascii="Times New Roman;Times;Serif" w:hAnsi="Times New Roman;Times;Serif"/>
          <w:b w:val="false"/>
          <w:i w:val="false"/>
          <w:caps w:val="false"/>
          <w:smallCaps w:val="false"/>
          <w:sz w:val="20"/>
        </w:rPr>
        <w:t>. Each outstanding Company RSU that, as of immediately prior to the Effective Time, is not vested by its terms, after taking into account any automatic accelerated vesting that is permitted or required in connection with the Merger (“</w:t>
      </w:r>
      <w:r>
        <w:rPr>
          <w:rFonts w:ascii="Times New Roman;Times;Serif" w:hAnsi="Times New Roman;Times;Serif"/>
          <w:b/>
          <w:i w:val="false"/>
          <w:caps w:val="false"/>
          <w:smallCaps w:val="false"/>
          <w:sz w:val="20"/>
        </w:rPr>
        <w:t>Unvested Company RSUs</w:t>
      </w:r>
      <w:r>
        <w:rPr>
          <w:rFonts w:ascii="Times New Roman;Times;Serif" w:hAnsi="Times New Roman;Times;Serif"/>
          <w:b w:val="false"/>
          <w:i w:val="false"/>
          <w:caps w:val="false"/>
          <w:smallCaps w:val="false"/>
          <w:sz w:val="20"/>
        </w:rPr>
        <w:t>”), shall, by virtue of the Merger and without any action on the part of Parent, Merger Sub, the Company or the holders thereof, automatically be cancelled as of the Effective Time for no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Payment Procedures</w:t>
      </w:r>
      <w:r>
        <w:rPr>
          <w:rFonts w:ascii="Times New Roman;Times;Serif" w:hAnsi="Times New Roman;Times;Serif"/>
          <w:b w:val="false"/>
          <w:i w:val="false"/>
          <w:caps w:val="false"/>
          <w:smallCaps w:val="false"/>
          <w:sz w:val="20"/>
        </w:rPr>
        <w:t xml:space="preserve">. At or prior to the Closing, Parent will deposit (or cause to be deposited) with the Company, by wire transfer of immediately available funds, or otherwise ensure that the Company has available to it, the aggregate amounts to be paid to holders of Vested Company RSUs pursuant to </w:t>
      </w:r>
      <w:r>
        <w:rPr>
          <w:rFonts w:ascii="Times New Roman;Times;Serif" w:hAnsi="Times New Roman;Times;Serif"/>
          <w:b w:val="false"/>
          <w:i w:val="false"/>
          <w:caps w:val="false"/>
          <w:smallCaps w:val="false"/>
          <w:sz w:val="20"/>
          <w:u w:val="single"/>
        </w:rPr>
        <w:t>Section 2.2(a)(i)</w:t>
      </w:r>
      <w:r>
        <w:rPr>
          <w:rFonts w:ascii="Times New Roman;Times;Serif" w:hAnsi="Times New Roman;Times;Serif"/>
          <w:b w:val="false"/>
          <w:i w:val="false"/>
          <w:caps w:val="false"/>
          <w:smallCaps w:val="false"/>
          <w:sz w:val="20"/>
        </w:rPr>
        <w:t xml:space="preserve">. The applicable holders of Vested Company RSUs will receive a payment from the Surviving Corporation, through its payroll system or payroll provider, of all amounts required to be paid to such holders in respect of Vested Company RSUs that are cancelled and converted into the right to receive an amount in cash pursuant to </w:t>
      </w:r>
      <w:r>
        <w:rPr>
          <w:rFonts w:ascii="Times New Roman;Times;Serif" w:hAnsi="Times New Roman;Times;Serif"/>
          <w:b w:val="false"/>
          <w:i w:val="false"/>
          <w:caps w:val="false"/>
          <w:smallCaps w:val="false"/>
          <w:sz w:val="20"/>
          <w:u w:val="single"/>
        </w:rPr>
        <w:t>Section 2.2(a)(i)</w:t>
      </w:r>
      <w:r>
        <w:rPr>
          <w:rFonts w:ascii="Times New Roman;Times;Serif" w:hAnsi="Times New Roman;Times;Serif"/>
          <w:b w:val="false"/>
          <w:i w:val="false"/>
          <w:caps w:val="false"/>
          <w:smallCaps w:val="false"/>
          <w:sz w:val="20"/>
        </w:rPr>
        <w:t xml:space="preserve">, not later than the next regularly scheduled payroll date that is at least five Business Days following the Closing Date. Notwithstanding the foregoing, if any payment owed to a holder of Vested Company RSUs pursuant to </w:t>
      </w:r>
      <w:r>
        <w:rPr>
          <w:rFonts w:ascii="Times New Roman;Times;Serif" w:hAnsi="Times New Roman;Times;Serif"/>
          <w:b w:val="false"/>
          <w:i w:val="false"/>
          <w:caps w:val="false"/>
          <w:smallCaps w:val="false"/>
          <w:sz w:val="20"/>
          <w:u w:val="single"/>
        </w:rPr>
        <w:t>Section 2.2(a)(i)</w:t>
      </w:r>
      <w:r>
        <w:rPr>
          <w:rFonts w:ascii="Times New Roman;Times;Serif" w:hAnsi="Times New Roman;Times;Serif"/>
          <w:b w:val="false"/>
          <w:i w:val="false"/>
          <w:caps w:val="false"/>
          <w:smallCaps w:val="false"/>
          <w:sz w:val="20"/>
        </w:rPr>
        <w:t xml:space="preserve"> is to be made to a Person not subject to withholding and otherwise not required to be paid through Company’s or the Surviving Corporation’s payroll processes, then the Company shall use its commercially reasonable efforts to obtain such Person’s wire instructions and/or mailing addresses, and the Surviving Corporation will (i) if such holder has delivered wire instructions to the Company prior to the Closing for purposes of such payment, wire such payment to such holder, or (ii) if no such wire instructions are delivered pursuant to the immediately preceding clause (i) and such holder has delivered to the Company such holder’s mailing address prior to the Closing for purposes of such payment, issue and mail a check for such payment to such holder, in each case promptly following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 Further Action</w:t>
      </w:r>
      <w:r>
        <w:rPr>
          <w:rFonts w:ascii="Times New Roman;Times;Serif" w:hAnsi="Times New Roman;Times;Serif"/>
          <w:b w:val="false"/>
          <w:i w:val="false"/>
          <w:caps w:val="false"/>
          <w:smallCaps w:val="false"/>
          <w:sz w:val="20"/>
        </w:rPr>
        <w:t xml:space="preserve">. At or prior to the Effective Time, the Company and the Company Board shall adopt any resolutions and take any actions necessary to effectuate the treatment of the Vested Company RSUs and Unvested Company RSUs as set forth in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As of the Effective Time, the Company and the Company Board shall take all actions required to terminate the Company Incentive Plans and all rights under any other plan, program or arrangement providing for the issuance or grant of any other interest with respect to the capital stock of the Company will be cancelled.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 Treatment of Company Options</w:t>
      </w:r>
      <w:r>
        <w:rPr>
          <w:rFonts w:ascii="Times New Roman;Times;Serif" w:hAnsi="Times New Roman;Times;Serif"/>
          <w:b w:val="false"/>
          <w:i w:val="false"/>
          <w:caps w:val="false"/>
          <w:smallCaps w:val="false"/>
          <w:sz w:val="20"/>
        </w:rPr>
        <w:t>. At the Effective Time, each option (a “</w:t>
      </w:r>
      <w:r>
        <w:rPr>
          <w:rFonts w:ascii="Times New Roman;Times;Serif" w:hAnsi="Times New Roman;Times;Serif"/>
          <w:b/>
          <w:i w:val="false"/>
          <w:caps w:val="false"/>
          <w:smallCaps w:val="false"/>
          <w:sz w:val="20"/>
        </w:rPr>
        <w:t>Company Option</w:t>
      </w:r>
      <w:r>
        <w:rPr>
          <w:rFonts w:ascii="Times New Roman;Times;Serif" w:hAnsi="Times New Roman;Times;Serif"/>
          <w:b w:val="false"/>
          <w:i w:val="false"/>
          <w:caps w:val="false"/>
          <w:smallCaps w:val="false"/>
          <w:sz w:val="20"/>
        </w:rPr>
        <w:t>” and collectively “</w:t>
      </w:r>
      <w:r>
        <w:rPr>
          <w:rFonts w:ascii="Times New Roman;Times;Serif" w:hAnsi="Times New Roman;Times;Serif"/>
          <w:b/>
          <w:i w:val="false"/>
          <w:caps w:val="false"/>
          <w:smallCaps w:val="false"/>
          <w:sz w:val="20"/>
        </w:rPr>
        <w:t>Company Options</w:t>
      </w:r>
      <w:r>
        <w:rPr>
          <w:rFonts w:ascii="Times New Roman;Times;Serif" w:hAnsi="Times New Roman;Times;Serif"/>
          <w:b w:val="false"/>
          <w:i w:val="false"/>
          <w:caps w:val="false"/>
          <w:smallCaps w:val="false"/>
          <w:sz w:val="20"/>
        </w:rPr>
        <w:t>”) to purchase shares of Company Common Stock (a “</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under any Company Incentive Plans that is unexercised and outstanding immediately prior to the Effective Time, whether vested or unvested, shall be cancelled and shall only entitle the holder of such Company Option to receive, as soon as administratively practicable after the Effective Time, an amount in cash equal to the product of (i) the total number of Shares subject to such Company Option and (ii) the positive excess, if any, of (A) the Per Share Price over (B) the exercise price per Share underlying such Company Option (such product, the “</w:t>
      </w:r>
      <w:r>
        <w:rPr>
          <w:rFonts w:ascii="Times New Roman;Times;Serif" w:hAnsi="Times New Roman;Times;Serif"/>
          <w:b/>
          <w:i w:val="false"/>
          <w:caps w:val="false"/>
          <w:smallCaps w:val="false"/>
          <w:sz w:val="20"/>
        </w:rPr>
        <w:t>Option Consideration</w:t>
      </w:r>
      <w:r>
        <w:rPr>
          <w:rFonts w:ascii="Times New Roman;Times;Serif" w:hAnsi="Times New Roman;Times;Serif"/>
          <w:b w:val="false"/>
          <w:i w:val="false"/>
          <w:caps w:val="false"/>
          <w:smallCaps w:val="false"/>
          <w:sz w:val="20"/>
        </w:rPr>
        <w:t>”), reduced by any applicable Taxes required to be withheld with respect to the Option Consideration (such Taxes, the “</w:t>
      </w:r>
      <w:r>
        <w:rPr>
          <w:rFonts w:ascii="Times New Roman;Times;Serif" w:hAnsi="Times New Roman;Times;Serif"/>
          <w:b/>
          <w:i w:val="false"/>
          <w:caps w:val="false"/>
          <w:smallCaps w:val="false"/>
          <w:sz w:val="20"/>
        </w:rPr>
        <w:t>Option Withholding Taxes</w:t>
      </w:r>
      <w:r>
        <w:rPr>
          <w:rFonts w:ascii="Times New Roman;Times;Serif" w:hAnsi="Times New Roman;Times;Serif"/>
          <w:b w:val="false"/>
          <w:i w:val="false"/>
          <w:caps w:val="false"/>
          <w:smallCaps w:val="false"/>
          <w:sz w:val="20"/>
        </w:rPr>
        <w:t>”). Parent shall fund (or cause to be funded) the Option Consideration, including the Option Withholding Taxes, to be paid with respect to Company Options to the payroll processor of the Company (the “</w:t>
      </w:r>
      <w:r>
        <w:rPr>
          <w:rFonts w:ascii="Times New Roman;Times;Serif" w:hAnsi="Times New Roman;Times;Serif"/>
          <w:b/>
          <w:i w:val="false"/>
          <w:caps w:val="false"/>
          <w:smallCaps w:val="false"/>
          <w:sz w:val="20"/>
        </w:rPr>
        <w:t>Payroll Processor</w:t>
      </w:r>
      <w:r>
        <w:rPr>
          <w:rFonts w:ascii="Times New Roman;Times;Serif" w:hAnsi="Times New Roman;Times;Serif"/>
          <w:b w:val="false"/>
          <w:i w:val="false"/>
          <w:caps w:val="false"/>
          <w:smallCaps w:val="false"/>
          <w:sz w:val="20"/>
        </w:rPr>
        <w:t>”) for payment by the Payroll Processor of the Option Consideration (net of the Option Withholding Taxes) to the applicable Company Option holders and payment of the Option Withholding Taxes to the applicable Tax authorities, which payments shall be made as soon as reasonably practicable after the Closing Date and in no event later than on the first regular payroll date of the Surviving Corporation following the Closing Date (unless earlier payment would be required by any applicable Tax Law). For the avoidance of doubt, any unexercised and outstanding Company Option that has an exercise price per Share that is greater than or equal to the Per Share Price shall be cancelled at the Effective Time for no consideration or payment. The Company shall provide Company Option holders the opportunity to exercise vested and unvested Company Options prior to the Effective Date in accordance with the terms and conditions of the applicable Company Incentive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 Warrants</w:t>
      </w:r>
      <w:r>
        <w:rPr>
          <w:rFonts w:ascii="Times New Roman;Times;Serif" w:hAnsi="Times New Roman;Times;Serif"/>
          <w:b w:val="false"/>
          <w:i w:val="false"/>
          <w:caps w:val="false"/>
          <w:smallCaps w:val="false"/>
          <w:sz w:val="20"/>
        </w:rPr>
        <w:t>. Each warrant to purchase Company Common Stock, including without limitation, each February 2021 Warrant, August 2021 Warrant, September 2021 Warrant, January 2023 Warrant, Series A-1 Warrant, Series A-2 Warrant, Series B-1 Warrant, Series B-2 Warrant, Series A Warrant or Series B Warrant (collectively, “</w:t>
      </w:r>
      <w:r>
        <w:rPr>
          <w:rFonts w:ascii="Times New Roman;Times;Serif" w:hAnsi="Times New Roman;Times;Serif"/>
          <w:b/>
          <w:i w:val="false"/>
          <w:caps w:val="false"/>
          <w:smallCaps w:val="false"/>
          <w:sz w:val="20"/>
        </w:rPr>
        <w:t>Company Warrants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Company Warrant</w:t>
      </w:r>
      <w:r>
        <w:rPr>
          <w:rFonts w:ascii="Times New Roman;Times;Serif" w:hAnsi="Times New Roman;Times;Serif"/>
          <w:b w:val="false"/>
          <w:i w:val="false"/>
          <w:caps w:val="false"/>
          <w:smallCaps w:val="false"/>
          <w:sz w:val="20"/>
        </w:rPr>
        <w:t>”) that is outstanding and unexercised immediately prior to the Effective Time shall, in connection with the Merger, be exercised, duly redeemed, cancelled or otherwise terminated pursuant to the terms thereof, and cease to represent a Company Warrant exercisable for Company Common Stock. The Company shall provide Company Warrant holders the opportunity to exercise such Company Warrants prior to the Effective Date in accordance with the terms and conditions of the applicable Company Warrants or otherwise terminate such Company Warrants prior to the Effective Date.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caps w:val="false"/>
          <w:smallCaps w:val="false"/>
          <w:sz w:val="20"/>
        </w:rPr>
        <w:t>Exchange of Certificates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Payment Agent</w:t>
      </w:r>
      <w:r>
        <w:rPr>
          <w:rFonts w:ascii="Times New Roman;Times;Serif" w:hAnsi="Times New Roman;Times;Serif"/>
          <w:b w:val="false"/>
          <w:i w:val="false"/>
          <w:caps w:val="false"/>
          <w:smallCaps w:val="false"/>
          <w:sz w:val="20"/>
        </w:rPr>
        <w:t>. Prior to the Closing, (i) Parent will appoint Nevada Agency and Transfer Company (or such other nationally recognized paying agent agreed to between Parent and the Company) to act as the payment agent for the Merger (the “</w:t>
      </w:r>
      <w:r>
        <w:rPr>
          <w:rFonts w:ascii="Times New Roman;Times;Serif" w:hAnsi="Times New Roman;Times;Serif"/>
          <w:b/>
          <w:i w:val="false"/>
          <w:caps w:val="false"/>
          <w:smallCaps w:val="false"/>
          <w:sz w:val="20"/>
        </w:rPr>
        <w:t>Payment Agent</w:t>
      </w:r>
      <w:r>
        <w:rPr>
          <w:rFonts w:ascii="Times New Roman;Times;Serif" w:hAnsi="Times New Roman;Times;Serif"/>
          <w:b w:val="false"/>
          <w:i w:val="false"/>
          <w:caps w:val="false"/>
          <w:smallCaps w:val="false"/>
          <w:sz w:val="20"/>
        </w:rPr>
        <w:t>”); and (ii) Parent will enter into a payment agent agreement, in form and substance reasonably acceptable to the Company, with such Payment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Exchange Fund</w:t>
      </w:r>
      <w:r>
        <w:rPr>
          <w:rFonts w:ascii="Times New Roman;Times;Serif" w:hAnsi="Times New Roman;Times;Serif"/>
          <w:b w:val="false"/>
          <w:i w:val="false"/>
          <w:caps w:val="false"/>
          <w:smallCaps w:val="false"/>
          <w:sz w:val="20"/>
        </w:rPr>
        <w:t xml:space="preserve">. At or prior to the Closing, Parent will deposit (or cause to be deposited) with the Payment Agent, by wire transfer of immediately available funds, for payment to the holders of shares of Company Common Stock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(other than holders of Dissenting Company Shares), an amount of cash equal to the aggregate consideration to which such holders become entitled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Exchange Fund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 Payment Procedures</w:t>
      </w:r>
      <w:r>
        <w:rPr>
          <w:rFonts w:ascii="Times New Roman;Times;Serif" w:hAnsi="Times New Roman;Times;Serif"/>
          <w:b w:val="false"/>
          <w:i w:val="false"/>
          <w:caps w:val="false"/>
          <w:smallCaps w:val="false"/>
          <w:sz w:val="20"/>
        </w:rPr>
        <w:t>. Promptly following the Closing, Parent and the Surviving Corporation will cause the Payment Agent to deliver (through mail or electronically) to each holder of record (as of immediately prior to the Effective Time) of a certificate or certificates that immediately prior to the Effective Time represented outstanding shares of Company Common Stock (the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or uncertificated shares of Company Common Stock (the “</w:t>
      </w:r>
      <w:r>
        <w:rPr>
          <w:rFonts w:ascii="Times New Roman;Times;Serif" w:hAnsi="Times New Roman;Times;Serif"/>
          <w:b/>
          <w:i w:val="false"/>
          <w:caps w:val="false"/>
          <w:smallCaps w:val="false"/>
          <w:sz w:val="20"/>
        </w:rPr>
        <w:t>Uncertificated Shares</w:t>
      </w:r>
      <w:r>
        <w:rPr>
          <w:rFonts w:ascii="Times New Roman;Times;Serif" w:hAnsi="Times New Roman;Times;Serif"/>
          <w:b w:val="false"/>
          <w:i w:val="false"/>
          <w:caps w:val="false"/>
          <w:smallCaps w:val="false"/>
          <w:sz w:val="20"/>
        </w:rPr>
        <w:t xml:space="preserve">”), in each case, other than Dissenting Company Shares, (i) instructions for use in effecting the surrender of the Certificates or Uncertificated Shares, as applicable, in exchange for the Per Share Price payable in respect thereof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and (ii) in the case of a holder of record of Certificates, a customary form letter of transmittal (which shall specify that delivery shall be effected, and risk of loss and title shall pass, only upon proper delivery of the Certificates (or affidavits of loss in lieu thereof)). Upon surrender of Certificates for cancellation to the Payment Agent, together with such letter of transmittal, duly completed and validly executed in accordance with the instructions thereto, the holders of such Certificates will be entitled to receive in exchange therefor an amount in cash equal to the product obtained by </w:t>
      </w:r>
      <w:r>
        <w:rPr>
          <w:rFonts w:ascii="Times New Roman;Times;Serif" w:hAnsi="Times New Roman;Times;Serif"/>
          <w:b w:val="false"/>
          <w:i/>
          <w:caps w:val="false"/>
          <w:smallCaps w:val="false"/>
          <w:sz w:val="20"/>
        </w:rPr>
        <w:t xml:space="preserve">multiplying </w:t>
      </w:r>
      <w:r>
        <w:rPr>
          <w:rFonts w:ascii="Times New Roman;Times;Serif" w:hAnsi="Times New Roman;Times;Serif"/>
          <w:b w:val="false"/>
          <w:i w:val="false"/>
          <w:caps w:val="false"/>
          <w:smallCaps w:val="false"/>
          <w:sz w:val="20"/>
        </w:rPr>
        <w:t xml:space="preserve">(x) the aggregate number of shares of Company Common Stock represented by such Certificates; </w:t>
      </w:r>
      <w:r>
        <w:rPr>
          <w:rFonts w:ascii="Times New Roman;Times;Serif" w:hAnsi="Times New Roman;Times;Serif"/>
          <w:b w:val="false"/>
          <w:i/>
          <w:caps w:val="false"/>
          <w:smallCaps w:val="false"/>
          <w:sz w:val="20"/>
        </w:rPr>
        <w:t xml:space="preserve">by </w:t>
      </w:r>
      <w:r>
        <w:rPr>
          <w:rFonts w:ascii="Times New Roman;Times;Serif" w:hAnsi="Times New Roman;Times;Serif"/>
          <w:b w:val="false"/>
          <w:i w:val="false"/>
          <w:caps w:val="false"/>
          <w:smallCaps w:val="false"/>
          <w:sz w:val="20"/>
        </w:rPr>
        <w:t xml:space="preserve">(y) the Per Share Price (less any applicable withholding Taxes deductible in respect thereof), and the Certificates so surrendered will forthwith be cancelled. Upon receipt of an “agent’s message” by the Payment Agent (or such other evidence, if any, of transfer as the Payment Agent may reasonably request) in the case of Uncertificated Shares, the holders of such Uncertificated Shares will be entitled to receive in exchange therefor an amount in cash equal to the product obtained by </w:t>
      </w:r>
      <w:r>
        <w:rPr>
          <w:rFonts w:ascii="Times New Roman;Times;Serif" w:hAnsi="Times New Roman;Times;Serif"/>
          <w:b w:val="false"/>
          <w:i/>
          <w:caps w:val="false"/>
          <w:smallCaps w:val="false"/>
          <w:sz w:val="20"/>
        </w:rPr>
        <w:t xml:space="preserve">multiplying </w:t>
      </w:r>
      <w:r>
        <w:rPr>
          <w:rFonts w:ascii="Times New Roman;Times;Serif" w:hAnsi="Times New Roman;Times;Serif"/>
          <w:b w:val="false"/>
          <w:i w:val="false"/>
          <w:caps w:val="false"/>
          <w:smallCaps w:val="false"/>
          <w:sz w:val="20"/>
        </w:rPr>
        <w:t xml:space="preserve">(1) the aggregate number of shares of Company Common Stock represented by such holder’s transferred Uncertificated Shares; </w:t>
      </w:r>
      <w:r>
        <w:rPr>
          <w:rFonts w:ascii="Times New Roman;Times;Serif" w:hAnsi="Times New Roman;Times;Serif"/>
          <w:b w:val="false"/>
          <w:i/>
          <w:caps w:val="false"/>
          <w:smallCaps w:val="false"/>
          <w:sz w:val="20"/>
        </w:rPr>
        <w:t xml:space="preserve">by </w:t>
      </w:r>
      <w:r>
        <w:rPr>
          <w:rFonts w:ascii="Times New Roman;Times;Serif" w:hAnsi="Times New Roman;Times;Serif"/>
          <w:b w:val="false"/>
          <w:i w:val="false"/>
          <w:caps w:val="false"/>
          <w:smallCaps w:val="false"/>
          <w:sz w:val="20"/>
        </w:rPr>
        <w:t xml:space="preserve">(2) the Per Share Price (less any applicable withholding Taxes deductible in respect thereof), and such Uncertificated Shares so surrendered will be cancelled. The Payment Agent will accept such Certificates and Uncertificated Shares upon compliance with such reasonable terms and conditions as the Payment Agent may impose to cause an orderly exchange thereof in accordance with normal exchange practices. No interest will be paid or accrued for the benefit of holders of the Certificates and Uncertificated Shares on the Per Share Price payable upon the surrender of such Certificates or Uncertificated Shares pursuant to this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Until so surrendered, outstanding Certificates and Uncertificated Shares will be deemed from and after the Effective Time to evidence only the right to receive the Per Share Price, without any interest thereon, payable in respect thereof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Notwithstanding anything to the contrary in this Agreement, no holder of Uncertificated Shares will be required to provide a Certificate or an executed letter of transmittal to the Payment Agent in order to receive the payment that such holder is entitled to receive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 DTC Payment</w:t>
      </w:r>
      <w:r>
        <w:rPr>
          <w:rFonts w:ascii="Times New Roman;Times;Serif" w:hAnsi="Times New Roman;Times;Serif"/>
          <w:b w:val="false"/>
          <w:i w:val="false"/>
          <w:caps w:val="false"/>
          <w:smallCaps w:val="false"/>
          <w:sz w:val="20"/>
        </w:rPr>
        <w:t>. Prior to the Closing, Parent and the Company will cooperate to establish procedures with the Payment Agent and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with the objective that the Payment Agent shall transmit to DTC or its nominee, on the Closing Date, an amount in cash, by wire transfer of immediately available funds, equal to the DTC Payment. The “</w:t>
      </w:r>
      <w:r>
        <w:rPr>
          <w:rFonts w:ascii="Times New Roman;Times;Serif" w:hAnsi="Times New Roman;Times;Serif"/>
          <w:b/>
          <w:i w:val="false"/>
          <w:caps w:val="false"/>
          <w:smallCaps w:val="false"/>
          <w:sz w:val="20"/>
        </w:rPr>
        <w:t>DTC Payment</w:t>
      </w:r>
      <w:r>
        <w:rPr>
          <w:rFonts w:ascii="Times New Roman;Times;Serif" w:hAnsi="Times New Roman;Times;Serif"/>
          <w:b w:val="false"/>
          <w:i w:val="false"/>
          <w:caps w:val="false"/>
          <w:smallCaps w:val="false"/>
          <w:sz w:val="20"/>
        </w:rPr>
        <w:t xml:space="preserve">” shall be an amount equal to the product obtained by </w:t>
      </w:r>
      <w:r>
        <w:rPr>
          <w:rFonts w:ascii="Times New Roman;Times;Serif" w:hAnsi="Times New Roman;Times;Serif"/>
          <w:b w:val="false"/>
          <w:i/>
          <w:caps w:val="false"/>
          <w:smallCaps w:val="false"/>
          <w:sz w:val="20"/>
        </w:rPr>
        <w:t xml:space="preserve">multiplying </w:t>
      </w:r>
      <w:r>
        <w:rPr>
          <w:rFonts w:ascii="Times New Roman;Times;Serif" w:hAnsi="Times New Roman;Times;Serif"/>
          <w:b w:val="false"/>
          <w:i w:val="false"/>
          <w:caps w:val="false"/>
          <w:smallCaps w:val="false"/>
          <w:sz w:val="20"/>
        </w:rPr>
        <w:t xml:space="preserve">(A) the number of shares of Company Common Stock (other than Dissenting Company Shares) held of record by DTC or such nominee immediately prior to the Effective Time; </w:t>
      </w:r>
      <w:r>
        <w:rPr>
          <w:rFonts w:ascii="Times New Roman;Times;Serif" w:hAnsi="Times New Roman;Times;Serif"/>
          <w:b w:val="false"/>
          <w:i/>
          <w:caps w:val="false"/>
          <w:smallCaps w:val="false"/>
          <w:sz w:val="20"/>
        </w:rPr>
        <w:t xml:space="preserve">by </w:t>
      </w:r>
      <w:r>
        <w:rPr>
          <w:rFonts w:ascii="Times New Roman;Times;Serif" w:hAnsi="Times New Roman;Times;Serif"/>
          <w:b w:val="false"/>
          <w:i w:val="false"/>
          <w:caps w:val="false"/>
          <w:smallCaps w:val="false"/>
          <w:sz w:val="20"/>
        </w:rPr>
        <w:t>(B) the Per Share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 Transfers of Ownership</w:t>
      </w:r>
      <w:r>
        <w:rPr>
          <w:rFonts w:ascii="Times New Roman;Times;Serif" w:hAnsi="Times New Roman;Times;Serif"/>
          <w:b w:val="false"/>
          <w:i w:val="false"/>
          <w:caps w:val="false"/>
          <w:smallCaps w:val="false"/>
          <w:sz w:val="20"/>
        </w:rPr>
        <w:t xml:space="preserve">. If a transfer of ownership of shares of Company Common Stock is not registered in the stock transfer books or ledger of the Company, or if the consideration payable is to be paid in a name other than that in which the Certificates surrendered or transferred in exchange therefor are registered in the stock transfer books or ledger of the Company, then the consideration payable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 as the case may be, may be paid to a Person other than the Person in whose name the Certificate so surrendered or transferred is registered in the stock transfer books or ledger of the Company only if such Certificate is properly endorsed and otherwise in proper form for surrender and transfer and the Person requesting such payment has paid to Parent (or any agent designated by Parent) any transfer or other Taxes required by reason of the payment of the Per Share Price, as the case may be, to a Person other than the registered holder of such Certificate, or established to the satisfaction of Parent (or any agent designated by Parent) that such transfer or other Taxes have been paid or are otherwise not payable. Payment of the consideration payable with respect to Uncertificated Shares will only be made to the Person in whose name such Uncertificated Shares are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 No Liability</w:t>
      </w:r>
      <w:r>
        <w:rPr>
          <w:rFonts w:ascii="Times New Roman;Times;Serif" w:hAnsi="Times New Roman;Times;Serif"/>
          <w:b w:val="false"/>
          <w:i w:val="false"/>
          <w:caps w:val="false"/>
          <w:smallCaps w:val="false"/>
          <w:sz w:val="20"/>
        </w:rPr>
        <w:t>. Notwithstanding anything to the contrary set forth in this Agreement, none of the Payment Agent, Parent, the Surviving Corporation or any other Party will be liable to a Stockholder, a holder of a Company Award or a holder of a Company Warrant for any amount properly paid to a public official pursuant to any applicable abandoned property, escheat or similar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Distribution of Exchange Fund to Parent</w:t>
      </w:r>
      <w:r>
        <w:rPr>
          <w:rFonts w:ascii="Times New Roman;Times;Serif" w:hAnsi="Times New Roman;Times;Serif"/>
          <w:b w:val="false"/>
          <w:i w:val="false"/>
          <w:caps w:val="false"/>
          <w:smallCaps w:val="false"/>
          <w:sz w:val="20"/>
        </w:rPr>
        <w:t xml:space="preserve">. Any portion of the Exchange Fund that remains undistributed to the holders of the Certificates or Uncertificated Shares on the date that is one year after the Closing Date will be delivered to Parent or Parent’s designee upon demand, and any holders of shares of Company Common Stock that were issued and outstanding immediately prior to the Effective Time who have not theretofore surrendered or transferred their Certificates or Uncertificated Shares representing such shares of Company Common Stock for exchange pursuant to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will thereafter look for payment of the Per Share Price payable in respect of the shares of Company Common Stock represented by such Certificates or Uncertificated Shares solely to Parent or the Surviving Corporation (subject to abandoned property, escheat or similar Laws), solely as general creditors thereof, for any claim to the Per Share Price to which such holders may be entitled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caps w:val="false"/>
          <w:smallCaps w:val="false"/>
          <w:sz w:val="20"/>
        </w:rPr>
        <w:t>No Further Ownership Rights in Company Common Stock, Company Awards or Company Warrants</w:t>
      </w:r>
      <w:r>
        <w:rPr>
          <w:rFonts w:ascii="Times New Roman;Times;Serif" w:hAnsi="Times New Roman;Times;Serif"/>
          <w:b w:val="false"/>
          <w:i w:val="false"/>
          <w:caps w:val="false"/>
          <w:smallCaps w:val="false"/>
          <w:sz w:val="20"/>
        </w:rPr>
        <w:t>. From and after the Effective Time, (a) all shares of Company Common Stock, all Company Awards and all Company Warrants will no longer be outstanding and will automatically be cancelled, retired and cease to exist; and (b) each holder of a Certificate or Uncertificated Shares previously representing any shares of Company Common Stock, any Company Awards, any certificates that immediately prior to the Effective Time represented an outstanding Company Warrant (the “</w:t>
      </w:r>
      <w:r>
        <w:rPr>
          <w:rFonts w:ascii="Times New Roman;Times;Serif" w:hAnsi="Times New Roman;Times;Serif"/>
          <w:b/>
          <w:i w:val="false"/>
          <w:caps w:val="false"/>
          <w:smallCaps w:val="false"/>
          <w:sz w:val="20"/>
        </w:rPr>
        <w:t>Warrant Certificate</w:t>
      </w:r>
      <w:r>
        <w:rPr>
          <w:rFonts w:ascii="Times New Roman;Times;Serif" w:hAnsi="Times New Roman;Times;Serif"/>
          <w:b w:val="false"/>
          <w:i w:val="false"/>
          <w:caps w:val="false"/>
          <w:smallCaps w:val="false"/>
          <w:sz w:val="20"/>
        </w:rPr>
        <w:t>”) and any uncertificated Company Warrants (“</w:t>
      </w:r>
      <w:r>
        <w:rPr>
          <w:rFonts w:ascii="Times New Roman;Times;Serif" w:hAnsi="Times New Roman;Times;Serif"/>
          <w:b/>
          <w:i w:val="false"/>
          <w:caps w:val="false"/>
          <w:smallCaps w:val="false"/>
          <w:sz w:val="20"/>
        </w:rPr>
        <w:t>Uncertificated Warrants</w:t>
      </w:r>
      <w:r>
        <w:rPr>
          <w:rFonts w:ascii="Times New Roman;Times;Serif" w:hAnsi="Times New Roman;Times;Serif"/>
          <w:b w:val="false"/>
          <w:i w:val="false"/>
          <w:caps w:val="false"/>
          <w:smallCaps w:val="false"/>
          <w:sz w:val="20"/>
        </w:rPr>
        <w:t xml:space="preserve">”) will cease to have any rights with respect thereto, except the right to receive the consideration payable therefor in accordance with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as applicable. The consideration paid in accordance with the terms of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upon conversion or exchange of any shares of Company Common Stock or any Company Awards or any Company Warrants will be deemed to have been paid in full satisfaction of all rights pertaining to such shares of Company Common Stock or such Company Awards or such Company Warrants. From and after the Effective Time, there will be no further registration of transfers on the records of the Surviving Corporation of shares of Company Common Stock, or Company Awards or Company Warrants that were issued and outstanding immediately prior to the Effective Time, other than transfers to reflect, in accordance with customary settlement procedures, trades effected prior to the Effective Time. If, after the Effective Time, Certificates, Uncertificated Shares, Company Awards, Warrant Certificates or Uncertificated Warrants are presented to the Surviving Corporation for any reason, they will (subject to compliance with the payment procedures of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be cancelled and exchanged as provided in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caps w:val="false"/>
          <w:smallCaps w:val="false"/>
          <w:sz w:val="20"/>
        </w:rPr>
        <w:t>Lost, Stolen or Destroyed Certificates or Warrant Certificates</w:t>
      </w:r>
      <w:r>
        <w:rPr>
          <w:rFonts w:ascii="Times New Roman;Times;Serif" w:hAnsi="Times New Roman;Times;Serif"/>
          <w:b w:val="false"/>
          <w:i w:val="false"/>
          <w:caps w:val="false"/>
          <w:smallCaps w:val="false"/>
          <w:sz w:val="20"/>
        </w:rPr>
        <w:t xml:space="preserve">. In the event that any Certificates, or Warrant Certificates have been lost, stolen or destroyed, the Payment Agent will issue in exchange therefor, upon the making of an affidavit of that fact by the holder thereof, the consideration payable in respect thereof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 as applicable. Parent or the Payment Agent may, in its discretion and as a condition precedent to the payment of such consideration, require the owners of such lost, stolen or destroyed Certificates, or Warrant Certificates to deliver a bond in a reasonable amount as it may direct as indemnity against any claim that may be made against Parent, the Surviving Corporation or the Payment Agent with respect to the Certificates, or Warrant Certificates alleged to have been lost, stolen or destroyed.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caps w:val="false"/>
          <w:smallCaps w:val="false"/>
          <w:sz w:val="20"/>
        </w:rPr>
        <w:t>Required Withholding</w:t>
      </w:r>
      <w:r>
        <w:rPr>
          <w:rFonts w:ascii="Times New Roman;Times;Serif" w:hAnsi="Times New Roman;Times;Serif"/>
          <w:b w:val="false"/>
          <w:i w:val="false"/>
          <w:caps w:val="false"/>
          <w:smallCaps w:val="false"/>
          <w:sz w:val="20"/>
        </w:rPr>
        <w:t xml:space="preserve">. Each of the Payment Agent, Parent, the Company and the Surviving Corporation, or any Subsidiary of Parent, the Company or the Surviving Corporation, will be entitled to deduct and withhold from any amounts payable pursuant to this Agreement to any Person such amounts as are required to be deducted or withheld therefrom pursuant to any applicable Laws related to Taxes; provided that to the extent Parent intends to make (or cause to be made) any such deduction or withholding, Parent shall use commercially reasonable efforts to provide the Person to be subject to such deduction or withholding with at least five (5) days prior written notice of the amount and nature of such deduction or withholding and shall provide such Person with a reasonable opportunity to mitigate or eliminate the need to withhold; provided further that Parent shall not be required to provide such prior written notice to the extent the withholding is attributable to (i) any compensatory payment made to a current or former employee of the Company or the Surviving Corporation, (ii) the Company’s failure to comply with the covenant at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xml:space="preserve"> hereof, or (iii) any Person’s failure to provide the Payment Agent a properly completed and duly executed IRS Form W-9 or applicable IRS Form W-8 as required by the letter of transmittal. To the extent that any amounts are so deducted or withheld and are timely paid over to the appropriate Governmental Authority, such amounts shall be paid over to the appropriate Governmental Authority and will be treated for all purposes of this Agreement as having been paid to the Person in respect of whom such deduction and withholding was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caps w:val="false"/>
          <w:smallCaps w:val="false"/>
          <w:sz w:val="20"/>
        </w:rPr>
        <w:t>No Dividends or Distributions</w:t>
      </w:r>
      <w:r>
        <w:rPr>
          <w:rFonts w:ascii="Times New Roman;Times;Serif" w:hAnsi="Times New Roman;Times;Serif"/>
          <w:b w:val="false"/>
          <w:i w:val="false"/>
          <w:caps w:val="false"/>
          <w:smallCaps w:val="false"/>
          <w:sz w:val="20"/>
        </w:rPr>
        <w:t>. No dividends or other distributions with respect to capital stock of the Surviving Corporation with a record date on or after the Effective Time will be paid to the holder of any unsurrendered Certificates or Uncertificated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caps w:val="false"/>
          <w:smallCaps w:val="false"/>
          <w:sz w:val="20"/>
        </w:rPr>
        <w:t>Necessary Further Actions</w:t>
      </w:r>
      <w:r>
        <w:rPr>
          <w:rFonts w:ascii="Times New Roman;Times;Serif" w:hAnsi="Times New Roman;Times;Serif"/>
          <w:b w:val="false"/>
          <w:i w:val="false"/>
          <w:caps w:val="false"/>
          <w:smallCaps w:val="false"/>
          <w:sz w:val="20"/>
        </w:rPr>
        <w:t>. If, at any time after the Effective Time, any further action is necessary or desirable to carry out the purposes of this Agreement and to vest the Surviving Corporation with full right, title and possession to all assets, property, rights, privileges, powers and franchises of the Company and Merger Sub, then the directors and officers of the Surviving Corporation and Parent will be fully authorized (in the name of Merger Sub, in the name of the Company, and otherwise) to take such 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any Section of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except (a) as disclosed in the Company SEC Reports filed with or furnished to the SEC, in each case, on or after January 1, 2024 and at least one Business Day prior to the date of this Agreement (other than any disclosures solely contained or referenced therein under the captions “Risk Factors,” “Cautionary Note Regarding Forward-Looking Statements,” “Quantitative and Qualitative Disclosures About Market Risk” and any other disclosures contained or referenced therein of information, factors or risks that are predictive, cautionary or forward-looking in nature, all of which are specifically excluded from this exception) (it being acknowledged that nothing disclosed in such Company SEC Reports will be deemed to modify or qualify the representations and warranties in Sections </w:t>
      </w:r>
      <w:r>
        <w:rPr>
          <w:rFonts w:ascii="Times New Roman;Times;Serif" w:hAnsi="Times New Roman;Times;Serif"/>
          <w:b w:val="false"/>
          <w:i w:val="false"/>
          <w:caps w:val="false"/>
          <w:smallCaps w:val="false"/>
          <w:sz w:val="20"/>
          <w:u w:val="single"/>
        </w:rPr>
        <w:t>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3.6(c)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3.16</w:t>
      </w:r>
      <w:r>
        <w:rPr>
          <w:rFonts w:ascii="Times New Roman;Times;Serif" w:hAnsi="Times New Roman;Times;Serif"/>
          <w:b w:val="false"/>
          <w:i w:val="false"/>
          <w:caps w:val="false"/>
          <w:smallCaps w:val="false"/>
          <w:sz w:val="20"/>
        </w:rPr>
        <w:t xml:space="preserve">); or (b) subject to the terms of </w:t>
      </w:r>
      <w:r>
        <w:rPr>
          <w:rFonts w:ascii="Times New Roman;Times;Serif" w:hAnsi="Times New Roman;Times;Serif"/>
          <w:b w:val="false"/>
          <w:i w:val="false"/>
          <w:caps w:val="false"/>
          <w:smallCaps w:val="false"/>
          <w:sz w:val="20"/>
          <w:u w:val="single"/>
        </w:rPr>
        <w:t>Section 9.13</w:t>
      </w:r>
      <w:r>
        <w:rPr>
          <w:rFonts w:ascii="Times New Roman;Times;Serif" w:hAnsi="Times New Roman;Times;Serif"/>
          <w:b w:val="false"/>
          <w:i w:val="false"/>
          <w:caps w:val="false"/>
          <w:smallCaps w:val="false"/>
          <w:sz w:val="20"/>
        </w:rPr>
        <w:t>, as set forth in the disclosure schedule delivered by the Company to the Buyer Parties on the date hereof (the “</w:t>
      </w:r>
      <w:r>
        <w:rPr>
          <w:rFonts w:ascii="Times New Roman;Times;Serif" w:hAnsi="Times New Roman;Times;Serif"/>
          <w:b/>
          <w:i w:val="false"/>
          <w:caps w:val="false"/>
          <w:smallCaps w:val="false"/>
          <w:sz w:val="20"/>
        </w:rPr>
        <w:t>Company Disclosure Schedule</w:t>
      </w:r>
      <w:r>
        <w:rPr>
          <w:rFonts w:ascii="Times New Roman;Times;Serif" w:hAnsi="Times New Roman;Times;Serif"/>
          <w:b w:val="false"/>
          <w:i w:val="false"/>
          <w:caps w:val="false"/>
          <w:smallCaps w:val="false"/>
          <w:sz w:val="20"/>
        </w:rPr>
        <w:t>”), the Company hereby represents and warrants to the Buyer Parties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caps w:val="false"/>
          <w:smallCaps w:val="false"/>
          <w:sz w:val="20"/>
        </w:rPr>
        <w:t>Corporate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organized, validly existing and in good standing under the Laws of the State of Nevada and has the requisite corporate or other organizational power and authority to own or lease its properties and assets and to carry on its business as it is now being conducted. The Company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Company Material Adverse Effect. The copies of the Existing Charter and Existing Bylaws, as most recently filed with the Company SEC Reports, are true, complete and correct copies of such documents as in effect as of the date of this Agreement. The Company is in compliance in all material respects with the Existing Charter and Existing Bylaws, and the Existing Charter and Existing Bylaws are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no Subsidiaries.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caps w:val="false"/>
          <w:smallCaps w:val="false"/>
          <w:sz w:val="20"/>
        </w:rPr>
        <w:t>Capitalization.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the Company consists of: (i) 800,000,000 shares of Company Common Stock; and (ii) 80,000,000 shares of undesignated preferred stock of the Company, par value $0.0001 per share (the “</w:t>
      </w:r>
      <w:r>
        <w:rPr>
          <w:rFonts w:ascii="Times New Roman;Times;Serif" w:hAnsi="Times New Roman;Times;Serif"/>
          <w:b/>
          <w:i w:val="false"/>
          <w:caps w:val="false"/>
          <w:smallCaps w:val="false"/>
          <w:sz w:val="20"/>
        </w:rPr>
        <w:t>Undesignated Preferred Stock</w:t>
      </w:r>
      <w:r>
        <w:rPr>
          <w:rFonts w:ascii="Times New Roman;Times;Serif" w:hAnsi="Times New Roman;Times;Serif"/>
          <w:b w:val="false"/>
          <w:i w:val="false"/>
          <w:caps w:val="false"/>
          <w:smallCaps w:val="false"/>
          <w:sz w:val="20"/>
        </w:rPr>
        <w:t>”), of which 2,000 shares have been designated as Series C Preferred Stock of the Company, par value $0.0001 per share. As of July 31, 2026 (the “</w:t>
      </w:r>
      <w:r>
        <w:rPr>
          <w:rFonts w:ascii="Times New Roman;Times;Serif" w:hAnsi="Times New Roman;Times;Serif"/>
          <w:b/>
          <w:i w:val="false"/>
          <w:caps w:val="false"/>
          <w:smallCaps w:val="false"/>
          <w:sz w:val="20"/>
        </w:rPr>
        <w:t>Capitalization Date</w:t>
      </w:r>
      <w:r>
        <w:rPr>
          <w:rFonts w:ascii="Times New Roman;Times;Serif" w:hAnsi="Times New Roman;Times;Serif"/>
          <w:b w:val="false"/>
          <w:i w:val="false"/>
          <w:caps w:val="false"/>
          <w:smallCaps w:val="false"/>
          <w:sz w:val="20"/>
        </w:rPr>
        <w:t>”), (A) 899,759 shares of Company Common Stock were issued and outstanding; (B) 0 shares of Undesignated Preferred Stock were issued and outstanding; (C) 1 share of Series C Preferred Stock was issued and outstanding; and (D) 250,000 shares of Series J Preferred Stock, par value $0.0001 per share (the “</w:t>
      </w:r>
      <w:r>
        <w:rPr>
          <w:rFonts w:ascii="Times New Roman;Times;Serif" w:hAnsi="Times New Roman;Times;Serif"/>
          <w:b/>
          <w:i w:val="false"/>
          <w:caps w:val="false"/>
          <w:smallCaps w:val="false"/>
          <w:sz w:val="20"/>
        </w:rPr>
        <w:t>Series J Preferred Stock</w:t>
      </w:r>
      <w:r>
        <w:rPr>
          <w:rFonts w:ascii="Times New Roman;Times;Serif" w:hAnsi="Times New Roman;Times;Serif"/>
          <w:b w:val="false"/>
          <w:i w:val="false"/>
          <w:caps w:val="false"/>
          <w:smallCaps w:val="false"/>
          <w:sz w:val="20"/>
        </w:rPr>
        <w:t>”) were issued and outstanding. All issued and outstanding shares of Company Common Stock, Series C Preferred Stock and Series J Preferred Stock are duly authorized, validly issued, fully paid and nonassessable, and were issued in compliance in all material respects with applicable securities Laws and are free of any preemptive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Capitalization Date, the Company has reserved 187,277 shares of Company Common Stock in the aggregate for issuance pursuant to the Company Incentive Plans, of which (i) 131,370 shares of Company Common Stock were subject to outstanding Company RSUs and (ii) 193,130 shares of Company Common Stock were underlying outstanding and unexercised Company Options under the applicable Company Incentive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Capitalization Date, there were 125 Company Warrants issued and outstanding, exercisable into 133 shares of Company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As of the date hereof, except (x) as set forth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3.2(c)</w:t>
      </w:r>
      <w:r>
        <w:rPr>
          <w:rFonts w:ascii="Times New Roman;Times;Serif" w:hAnsi="Times New Roman;Times;Serif"/>
          <w:b w:val="false"/>
          <w:i w:val="false"/>
          <w:caps w:val="false"/>
          <w:smallCaps w:val="false"/>
          <w:sz w:val="20"/>
        </w:rPr>
        <w:t>, and (y) for shares of Company Common Stock that have become outstanding after the Capitalization Date and prior to the date hereof as a result of issuances of shares of Company Common Stock pursuant to the exercise, vesting or settlement, as applicable, of Company equity awards outstanding as of the Capitalization Date (and issued in accordance with the terms of such Company equity award and the applicable Company Incentive Plans): (i) the Company does not have any shares of capital stock or other Equity Interests issued or outstanding and (ii) there are no options, phantom stock or equity-based interest, warrants, or other rights, agreements, arrangements or commitments of any character to which the Company is a party or by which the Company is bound (A) relating to the issued or unissued capital stock or other Equity Interests of the Company, or securities convertible into or exchangeable for such capital stock or other Equity Interests, (B) obligating the Company to issue or sell any shares of its capital stock or other Equity Interests, or securities convertible into or exchangeable for such capital stock of, or other Equity Interests in, the Company or (C) obligating the Company to redeem or otherwise acquire any shares of capital stock or other Equity Interests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As set forth in </w:t>
      </w:r>
      <w:r>
        <w:rPr>
          <w:rFonts w:ascii="Times New Roman;Times;Serif" w:hAnsi="Times New Roman;Times;Serif"/>
          <w:b w:val="false"/>
          <w:i w:val="false"/>
          <w:caps w:val="false"/>
          <w:smallCaps w:val="false"/>
          <w:sz w:val="20"/>
          <w:u w:val="single"/>
        </w:rPr>
        <w:t>Section 3.2(e)</w:t>
      </w:r>
      <w:r>
        <w:rPr>
          <w:rFonts w:ascii="Times New Roman;Times;Serif" w:hAnsi="Times New Roman;Times;Serif"/>
          <w:b w:val="false"/>
          <w:i w:val="false"/>
          <w:caps w:val="false"/>
          <w:smallCaps w:val="false"/>
          <w:sz w:val="20"/>
        </w:rPr>
        <w:t xml:space="preserve"> of the Company Disclosure Schedule, the Company has made available to Parent a true and complete list, as of the Capitalization Date, of each outstanding Company RSU, the holder thereof, the number of shares of Company Common Stock underlying such Company RSU, the grant date and vesting schedule, the extent that such Company RSU is vested as of the Capitalization Date, and whether the vesting of such Company RSU shall be accelerated in any manner by any of the transactions contemplated by this Agreement or upon any other event or condition and the extent of such acceleration, if any. The copies of the Company Incentive Plans made available to Parent are true, correct and complete copies of such documents as in effect as of the date of this Agreement. All shares of Company Common Stock subject to issuance under the Company Incentive Plans, upon issuance prior to the Effective Time on the terms and conditions specified in the instruments pursuant to which they are issuable, will be duly authorized, validly issued, fully paid, nonassessable and free of preemptive rights. All Company RSUs have been granted in material compliance with applicable law and the terms of the Company Incentive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As set forth in </w:t>
      </w:r>
      <w:r>
        <w:rPr>
          <w:rFonts w:ascii="Times New Roman;Times;Serif" w:hAnsi="Times New Roman;Times;Serif"/>
          <w:b w:val="false"/>
          <w:i w:val="false"/>
          <w:caps w:val="false"/>
          <w:smallCaps w:val="false"/>
          <w:sz w:val="20"/>
          <w:u w:val="single"/>
        </w:rPr>
        <w:t>Section 3.2(f)</w:t>
      </w:r>
      <w:r>
        <w:rPr>
          <w:rFonts w:ascii="Times New Roman;Times;Serif" w:hAnsi="Times New Roman;Times;Serif"/>
          <w:b w:val="false"/>
          <w:i w:val="false"/>
          <w:caps w:val="false"/>
          <w:smallCaps w:val="false"/>
          <w:sz w:val="20"/>
        </w:rPr>
        <w:t xml:space="preserve"> of the Company Disclosure Schedule, the Company has made available to Parent a true and complete list, of all Company Options outstanding as of the Capitalization Date, the holder thereof, the number of shares of Company Common Stock subject to each Company Option, as applicable, the grant date of each such Company Option and as applicable, the vesting schedule of each such Company Option. With respect to each grant of Company Options (i) each such grant was made in accordance with the terms of the Company Incentive Plans and all applicable Laws and (ii) each such grant was properly accounted for in accordance with generally accepted accounting principles in the United States for the applicable period(s) in the financial statements (including the related notes) of Company in accordance with all applicable Laws. Except as set forth in </w:t>
      </w:r>
      <w:r>
        <w:rPr>
          <w:rFonts w:ascii="Times New Roman;Times;Serif" w:hAnsi="Times New Roman;Times;Serif"/>
          <w:b w:val="false"/>
          <w:i w:val="false"/>
          <w:caps w:val="false"/>
          <w:smallCaps w:val="false"/>
          <w:sz w:val="20"/>
          <w:u w:val="single"/>
        </w:rPr>
        <w:t>Section 3.2(f)</w:t>
      </w:r>
      <w:r>
        <w:rPr>
          <w:rFonts w:ascii="Times New Roman;Times;Serif" w:hAnsi="Times New Roman;Times;Serif"/>
          <w:b w:val="false"/>
          <w:i w:val="false"/>
          <w:caps w:val="false"/>
          <w:smallCaps w:val="false"/>
          <w:sz w:val="20"/>
        </w:rPr>
        <w:t xml:space="preserve"> of the Company Disclosure Schedule, from January 1, 2023 through the date of this Agreement, neither Company has (i) accelerated the vesting of or lapsing of restrictions with respect to any stock-based compensation awards or long-term incentive compensation awards, (ii) with respect to executive officers of Company, entered into or amended any employment, severance, change of control or similar agreement (including any agreement providing for the reimbursement of excise taxes under Section 4999 of the Code) or (iii) adopted or amended any Company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Except as set forth in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 xml:space="preserve"> of the Company Disclosure Schedule, there are no (i) outstanding shares of capital stock of, or other equity interest in or voting securities of, the Company; (ii) outstanding subscriptions, options, calls, warrants or rights (whether or not currently exercisable) to acquire, or obligation of the Company to issue, any shares of capital stock, restricted stock awards, restricted stock units, stock-based performance units, contingent value rights, “phantom” stock or any other rights or securities that are linked to, or the value of which is in any way based on or derived from the value of, or which are or may become convertible into or exchangeable for, any shares of capital stock or other securities of the Company; (iii) outstanding securities, instruments, bonds, debentures, notes or obligations that are or may become convertible into or exchangeable for any shares of the capital stock or other securities of the Company; or (iv) stockholder rights plans (or similar plan commonly referred to as a “</w:t>
      </w:r>
      <w:r>
        <w:rPr>
          <w:rFonts w:ascii="Times New Roman;Times;Serif" w:hAnsi="Times New Roman;Times;Serif"/>
          <w:b/>
          <w:i w:val="false"/>
          <w:caps w:val="false"/>
          <w:smallCaps w:val="false"/>
          <w:sz w:val="20"/>
        </w:rPr>
        <w:t>poison pill</w:t>
      </w:r>
      <w:r>
        <w:rPr>
          <w:rFonts w:ascii="Times New Roman;Times;Serif" w:hAnsi="Times New Roman;Times;Serif"/>
          <w:b w:val="false"/>
          <w:i w:val="false"/>
          <w:caps w:val="false"/>
          <w:smallCaps w:val="false"/>
          <w:sz w:val="20"/>
        </w:rPr>
        <w:t>”) or Contracts under which the Company is or may become obligated to sell or otherwise issue any shares of its capital stock or any other securities.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does not hold an Equity Interest in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caps w:val="false"/>
          <w:smallCaps w:val="false"/>
          <w:sz w:val="20"/>
        </w:rPr>
        <w:t>Authority; Execution and Delivery; Enforceability</w:t>
      </w:r>
      <w:r>
        <w:rPr>
          <w:rFonts w:ascii="Times New Roman;Times;Serif" w:hAnsi="Times New Roman;Times;Serif"/>
          <w:b w:val="false"/>
          <w:i w:val="false"/>
          <w:caps w:val="false"/>
          <w:smallCaps w:val="false"/>
          <w:sz w:val="20"/>
        </w:rPr>
        <w:t>. The Company has all requisite corporate power and authority to execute and deliver this Agreement, to perform its obligations under this Agreement and to consummate the Merger and the other transactions contemplated by this Agreement, subject, in the case of the Merger, to the receipt the Company Stockholder Approval. The Company Board has adopted resolutions, by unanimous vote of the board of directors present at a meeting duly called at which a quorum of the board of directors of the Company was present, (i) determining that the terms of this Agreement, the Merger and the other transactions contemplated by this Agreement are fair to and in the best interests of the Company and its stockholders, (ii) approving and declaring advisable the execution, delivery and performance of this Agreement and the transactions contemplated by this Agreement, and (iii) recommending that the Company’s stockholders vote in favor of the adoption of this Agreement and the approval of the transactions contemplated by this Agreement, including the Merger, at a duly held meeting of such stockholders for such purpose (the “</w:t>
      </w:r>
      <w:r>
        <w:rPr>
          <w:rFonts w:ascii="Times New Roman;Times;Serif" w:hAnsi="Times New Roman;Times;Serif"/>
          <w:b/>
          <w:i w:val="false"/>
          <w:caps w:val="false"/>
          <w:smallCaps w:val="false"/>
          <w:sz w:val="20"/>
        </w:rPr>
        <w:t>Company Stockholders Meeting</w:t>
      </w:r>
      <w:r>
        <w:rPr>
          <w:rFonts w:ascii="Times New Roman;Times;Serif" w:hAnsi="Times New Roman;Times;Serif"/>
          <w:b w:val="false"/>
          <w:i w:val="false"/>
          <w:caps w:val="false"/>
          <w:smallCaps w:val="false"/>
          <w:sz w:val="20"/>
        </w:rPr>
        <w:t>”). Such resolutions have not been amended or withdrawn. Except for the Company Stockholder Approval, no other corporate or other organizational proceedings on the part of the Company are necessary to authorize or adopt this Agreement or to consummate the Merger and the other transactions contemplated by this Agreement. The Company has duly executed and delivered this Agreement and, assuming the due authorization, execution and delivery by Parent and Merger Sub, this Agreement constitutes its legal, valid and binding obligation, enforceable against it in accordance with its terms except, in each case, as enforcement may be limited by bankruptcy, insolvency, reorganization, fraudulent transfer, moratorium or similar Laws affecting creditors’ rights generally and by general principles of equity (the “</w:t>
      </w:r>
      <w:r>
        <w:rPr>
          <w:rFonts w:ascii="Times New Roman;Times;Serif" w:hAnsi="Times New Roman;Times;Serif"/>
          <w:b/>
          <w:i w:val="false"/>
          <w:caps w:val="false"/>
          <w:smallCaps w:val="false"/>
          <w:sz w:val="20"/>
        </w:rPr>
        <w:t>Enforceability Limitations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caps w:val="false"/>
          <w:smallCaps w:val="false"/>
          <w:sz w:val="20"/>
        </w:rPr>
        <w:t>No Conflicts.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execution, delivery and performance of this Agreement by the Company and the consummation of the Merger by the Company do not and will not (i) assuming the Requisite Stockholder Approvals are obtained, conflict with or violate any provision of the Existing Charter or the Existing Bylaws, (ii) assuming that all Consents and permits described in </w:t>
      </w:r>
      <w:r>
        <w:rPr>
          <w:rFonts w:ascii="Times New Roman;Times;Serif" w:hAnsi="Times New Roman;Times;Serif"/>
          <w:b w:val="false"/>
          <w:i w:val="false"/>
          <w:caps w:val="false"/>
          <w:smallCaps w:val="false"/>
          <w:sz w:val="20"/>
          <w:u w:val="single"/>
        </w:rPr>
        <w:t>Section 3.4(b)</w:t>
      </w:r>
      <w:r>
        <w:rPr>
          <w:rFonts w:ascii="Times New Roman;Times;Serif" w:hAnsi="Times New Roman;Times;Serif"/>
          <w:b w:val="false"/>
          <w:i w:val="false"/>
          <w:caps w:val="false"/>
          <w:smallCaps w:val="false"/>
          <w:sz w:val="20"/>
        </w:rPr>
        <w:t xml:space="preserve"> have been obtained and all filings and notifications described in </w:t>
      </w:r>
      <w:r>
        <w:rPr>
          <w:rFonts w:ascii="Times New Roman;Times;Serif" w:hAnsi="Times New Roman;Times;Serif"/>
          <w:b w:val="false"/>
          <w:i w:val="false"/>
          <w:caps w:val="false"/>
          <w:smallCaps w:val="false"/>
          <w:sz w:val="20"/>
          <w:u w:val="single"/>
        </w:rPr>
        <w:t xml:space="preserve">Section 3.4(b) </w:t>
      </w:r>
      <w:r>
        <w:rPr>
          <w:rFonts w:ascii="Times New Roman;Times;Serif" w:hAnsi="Times New Roman;Times;Serif"/>
          <w:b w:val="false"/>
          <w:i w:val="false"/>
          <w:caps w:val="false"/>
          <w:smallCaps w:val="false"/>
          <w:sz w:val="20"/>
        </w:rPr>
        <w:t xml:space="preserve">have been made and any waiting periods thereunder have terminated or expired, conflict with or violate any Law applicable to the Company or by which any property or asset of the Company is bound or affected or (iii) except as set forth on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 xml:space="preserve"> of the Company Disclosure Schedule, require any Consent under, result in any breach or violation of or any loss of any benefit under, constitute a change of control or default (or an event which with notice or lapse of time or both would become a default) under or give to others any right of termination, vesting, amendment, acceleration, first offer, first refusal or cancellation of, or result in the creation of a Lien on any property or asset of the Company pursuant to, any Contract or Permit to which the Company is party, except, with respect to clause (ii), where any such conflicts, violations, or other occurrences have not had, and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Section 3.4(b)</w:t>
      </w:r>
      <w:r>
        <w:rPr>
          <w:rFonts w:ascii="Times New Roman;Times;Serif" w:hAnsi="Times New Roman;Times;Serif"/>
          <w:b w:val="false"/>
          <w:i w:val="false"/>
          <w:caps w:val="false"/>
          <w:smallCaps w:val="false"/>
          <w:sz w:val="20"/>
        </w:rPr>
        <w:t xml:space="preserve"> of the Company Disclosure Schedule, the execution, delivery and performance of this Agreement by the Company and the consummation of the Merger by the Company do not and will not require any Consent of, or notification to, any Governmental Authority, except (i) under the Exchange Act, (ii) the filing and recordation of appropriate documents with the relevant authorities of other states in which the Company is qualified to do business, and (iii) where the failure to obtain such Consents, or to make such filings or notifications would not reasonably be expected to be material to the Company or prevent or materially delay the Company from consummating the Merger.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caps w:val="false"/>
          <w:smallCaps w:val="false"/>
          <w:sz w:val="20"/>
        </w:rPr>
        <w:t>SEC Documents; Financial Statements; Undisclosed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filed or furnished (as applicable) all reports, schedules, forms, statements, registration statements, prospectuses and other documents required to be filed or furnished (as applicable) by the Company with the SEC under the Securities Act or the Exchange Act since January 1, 2023 (including exhibits thereto, the “</w:t>
      </w:r>
      <w:r>
        <w:rPr>
          <w:rFonts w:ascii="Times New Roman;Times;Serif" w:hAnsi="Times New Roman;Times;Serif"/>
          <w:b/>
          <w:i w:val="false"/>
          <w:caps w:val="false"/>
          <w:smallCaps w:val="false"/>
          <w:sz w:val="20"/>
        </w:rPr>
        <w:t>Company SEC Reports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its respective filing date (or, if amended or superseded prior to the date of this Agreement, on the date of such filing) each Company SEC Report complied as to form in all material respects with the requirements of the Sarbanes-Oxley Act, the Exchange Act or the Securities Act, as the case may be, and the rules and regulations of the SEC promulgated thereunder applicable to such Company SEC Report, and did not contain any untrue statement of a material fact or omit to state a material fact required to be stated therein or necessary in order to make the statements therein, in light of the circumstances under which they were made, not misleading. The Company never received from the SEC or any other Governmental Authority any written (or to the Knowledge of the Company, oral) comments or questions with respect to any of the Company SEC Reports (including the financial statements included therein) that are not resolved, or has received any notice from the SEC or other Governmental Authority that such Company SEC Reports (including the financial statements included therein) are being reviewed or investigated, and, to the Company’s Knowledge, as of the date hereof, there is no pending investigation or review being conducted by the SEC or any other Governmental Authority of any Company SEC Reports (including the financial statements included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consolidated financial statements of the Company included in the Company SEC Reports (including, in each case, any notes or schedules thereto) (the “</w:t>
      </w:r>
      <w:r>
        <w:rPr>
          <w:rFonts w:ascii="Times New Roman;Times;Serif" w:hAnsi="Times New Roman;Times;Serif"/>
          <w:b/>
          <w:i w:val="false"/>
          <w:caps w:val="false"/>
          <w:smallCaps w:val="false"/>
          <w:sz w:val="20"/>
        </w:rPr>
        <w:t>Company Financial Statements</w:t>
      </w:r>
      <w:r>
        <w:rPr>
          <w:rFonts w:ascii="Times New Roman;Times;Serif" w:hAnsi="Times New Roman;Times;Serif"/>
          <w:b w:val="false"/>
          <w:i w:val="false"/>
          <w:caps w:val="false"/>
          <w:smallCaps w:val="false"/>
          <w:sz w:val="20"/>
        </w:rPr>
        <w:t>”) fairly present, in all material respects, the financial condition and the results of operations, cash flows and changes in stockholders’ equity of the Company (on a consolidated basis) as of the respective dates of and for the periods referred to in the Company Financial Statements, and were prepared in accordance with GAAP applied on a consistent basis during the periods involved (except as may be indicated in the notes thereto or, in the case of unaudited statements, as permitted by Form 10-Q of the SEC), subject, in the case of interim Company Financial Statements, to normal year-end adjustments and the absence of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Section 3.5(d)</w:t>
      </w:r>
      <w:r>
        <w:rPr>
          <w:rFonts w:ascii="Times New Roman;Times;Serif" w:hAnsi="Times New Roman;Times;Serif"/>
          <w:b w:val="false"/>
          <w:i w:val="false"/>
          <w:caps w:val="false"/>
          <w:smallCaps w:val="false"/>
          <w:sz w:val="20"/>
        </w:rPr>
        <w:t xml:space="preserve"> of the Company Disclosure Schedule sets forth a true and correct list , as of the date of this Agreement, of all Indebtedness of the Company of the type described in clauses (a) and (b) of the definition of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has timely filed all certifications and statements required by (i) Rule 13a-14 or Rule 15d-14 under the Exchange Act or (ii) 18 U.S.C. Section 1350 (Section 906 of the Sarbanes-Oxley Act), in each case to the extent applicable, with respect to all applicable Company SEC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Company’s system of internal controls over financial reporting (as defined in Rules 13a-15(f) and 15d-15(f) under the Exchange Act) is designed, in all material respects, to provide reasonable assurance: (i) of the maintenance of records that in reasonable detail accurately and fairly reflect the transactions and dispositions of the assets of the Company; (ii) that transactions are recorded as necessary to permit preparation of financial statements in conformity with GAAP; (iii) that receipts and expenditures are executed in accordance with the authorization of management and the Company Board; (iv) that access to assets is permitted only in accordance with management’s general or specific authorization, and that any unauthorized use, acquisition or disposition of the Company’s assets that would materially affect the Company’s financial statements would be detected or prevented in a timely manner and (v) that the recorded accountability for assets is compared with the existing assets at reasonable intervals and appropriate action is taken with respect to any differences.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maintains, and at all times since January 1, 2023, has maintained in all material respects, disclosure controls and procedures and internal control over financial reporting (as such terms are defined in paragraphs (e) and (f), respectively, of Rule 13a-15 under the Exchange Act) as required by Rule 13a-15 or Rule 15d-15 under the Exchange Act, which such controls and procedures are reasonably designed to ensure that all material information concerning the Company is made known on a timely basis to the individuals responsible for the preparation of the Company SEC Reports. Since January 1, 2023, neither the Company nor, to the Company’s Knowledge, the Company’s independent auditors, has identified or been made aware of, (i) except as set forth in the Company SEC Reports, any significant deficiency or material weakness in the system of internal accounting controls utilized by the Company, (ii) any Fraud, that involves the Company’s management or other employees who have a role in the preparation of the financial statements or the internal accounting controls utilized by the Company, or (iii) any written claim or allegation regarding any of the foregoing. Since January 1, 2023, the Company has never received any written (or to the Knowledge of the Company), unresolved, complaint, allegation, assertion or claim regarding the impropriety of any accounting or auditing practices, procedures, methodologies or methods of the Company or its internal accounting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Company’s management has completed an assessment of the effectiveness of the Company’s internal control over financial reporting in compliance with the requirements of Section 404 of the Sarbanes-Oxley Act for the fiscal year ended December 31, 2025, and, except as set forth in the Company SEC Reports, such assessment concluded that such control was effective. Since such date, there have been no changes in the Company’s internal control over financial reporting that, individually or in the aggregate, have materially and adversely affected or would reasonably be expected to materially and adversely affect, the Company’s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is not a party to, or has any Contract to become a party to, any joint venture, off-balance sheet partnership or any similar Contract, including any Contract relating to any transaction or relationship between or among the Company,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 disclosure of any material transaction involving, or material liabilities of, the Company in the Company’s published financial statements or any Company SEC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does not have any liabilities or obligations of any nature (whether absolute or contingent, asserted or unasserted, known or unknown, primary or secondary, direct or indirect, and whether or not accrued) required by GAAP to be reflected or reserved on a consolidated balance sheet of the Company (or the notes thereto) except (i) as disclosed, reflected or reserved against in the most recent audited balance sheet included in the Company Financial Statements or the notes thereto, (ii) for liabilities and obligations incurred in the ordinary course of business consistent with past practice since the date of the most recent audited balance sheet included in the Company Financial Statements, (iii) for liabilities and obligations arising out of or in connection with this Agreement or the Merger and (iv) for liabilities and obligations that, individually or in the aggregate, are not material to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caps w:val="false"/>
          <w:smallCaps w:val="false"/>
          <w:sz w:val="20"/>
        </w:rPr>
        <w:t>Absence of Certain Changes or Events</w:t>
      </w:r>
      <w:r>
        <w:rPr>
          <w:rFonts w:ascii="Times New Roman;Times;Serif" w:hAnsi="Times New Roman;Times;Serif"/>
          <w:b w:val="false"/>
          <w:i w:val="false"/>
          <w:caps w:val="false"/>
          <w:smallCaps w:val="false"/>
          <w:sz w:val="20"/>
        </w:rPr>
        <w:t xml:space="preserve">. Since January 1, 2026 through the date of this Agreement, (a). the business of the Company has been conducted in all material respects in the ordinary course consistent with past practice, except in connection with this Agreement and the transactions contemplated hereby, (b). the Company has not taken any action that, if taken after the date hereof, would constitute a breach of, or require the consent of Parent under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and (c). there has not been a Company Material Adverse Effect.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caps w:val="false"/>
          <w:smallCaps w:val="false"/>
          <w:sz w:val="20"/>
        </w:rPr>
        <w:t>Proxy Statement</w:t>
      </w:r>
      <w:r>
        <w:rPr>
          <w:rFonts w:ascii="Times New Roman;Times;Serif" w:hAnsi="Times New Roman;Times;Serif"/>
          <w:b w:val="false"/>
          <w:i w:val="false"/>
          <w:caps w:val="false"/>
          <w:smallCaps w:val="false"/>
          <w:sz w:val="20"/>
        </w:rPr>
        <w:t>. The Proxy Statement and the Schedule 13e-3, when filed with the SEC, and on the first date when the Proxy Statement is mailed to Stockholders and at the time of the Stockholder Meeting, will not contain any untrue statement of a material fact or omit to state a material fact necessary to make the statements therein, in light of the circumstances in which they are made, not false or misleading (except that no representation or warranty is made by the Company to information or statements in the Proxy Statement or the Schedule 13e-3 supplied by or on behalf of Parent and its Subsidiaries, including Merger Sub). The Proxy Statement and the Schedule 13e-3 will comply in all material respects as to form with the requirements of the Exchange Act and the rules and regulations promulgated thereunder.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caps w:val="false"/>
          <w:smallCaps w:val="false"/>
          <w:sz w:val="20"/>
        </w:rPr>
        <w:t>Legal Proceedings</w:t>
      </w:r>
      <w:r>
        <w:rPr>
          <w:rFonts w:ascii="Times New Roman;Times;Serif" w:hAnsi="Times New Roman;Times;Serif"/>
          <w:b w:val="false"/>
          <w:i w:val="false"/>
          <w:caps w:val="false"/>
          <w:smallCaps w:val="false"/>
          <w:sz w:val="20"/>
        </w:rPr>
        <w:t>. There are no Legal Proceedings pending, or to the Knowledge of the Company, threatened (i) against the Company (including with respect to the Leased Real Property), (ii) against any current or former director or officer of the Company (in their respective capacities a such), whether or not naming the Company, or (iii) by the Company against any Person, in each case, would reasonably be expected to be material to the Company or would reasonably be expected to prevent or materially delay the consummation of the Merger. The Company is not subject to any Order that would reasonably be expected to be material to the Company or would reasonably be expected to prevent or materially delay the consummation of the Merger.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caps w:val="false"/>
          <w:smallCaps w:val="false"/>
          <w:sz w:val="20"/>
        </w:rPr>
        <w:t>Compliance with Laws and Orders.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and its assets (including the Leased Real Property) are in compliance and, since January 1, 2021, the Company and its respective assets have been in compliance in all material respects with all material Laws and Orders applicable to the Company or any assets owned, leased or used by any of them. Since January 1, 2021, the Company (i) has not received any written notice of any administrative, civil or criminal investigation or audit by any Governmental Authority relating to the Company or any of its respective assets (including the Leased Real Property), (ii) has not received any written notice from any Governmental Authority alleging any violation by the Company of any applicable Law or Order (including with respect to the Leased Real Property), or (iii) has not provided any written notice to any Governmental Authority regarding any violation by the Company of any applicable Law or Order (including with respect to the Leased Real Property), and no such notice referred to in clauses (i), (ii) or (iii) of this </w:t>
      </w:r>
      <w:r>
        <w:rPr>
          <w:rFonts w:ascii="Times New Roman;Times;Serif" w:hAnsi="Times New Roman;Times;Serif"/>
          <w:b w:val="false"/>
          <w:i w:val="false"/>
          <w:caps w:val="false"/>
          <w:smallCaps w:val="false"/>
          <w:sz w:val="20"/>
          <w:u w:val="single"/>
        </w:rPr>
        <w:t>Section 3.9(a)</w:t>
      </w:r>
      <w:r>
        <w:rPr>
          <w:rFonts w:ascii="Times New Roman;Times;Serif" w:hAnsi="Times New Roman;Times;Serif"/>
          <w:b w:val="false"/>
          <w:i w:val="false"/>
          <w:caps w:val="false"/>
          <w:smallCaps w:val="false"/>
          <w:sz w:val="20"/>
        </w:rPr>
        <w:t xml:space="preserve"> remains outstanding or unresolved as of the date of this Agreement, except in each case as has not been or would not reasonably be expected to be material to the Company or would not reasonably be expected to prevent or materially delay the consummation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past five years, neither the Company nor any of its directors, officers or employees, in connection with the business of the Company, or, to the Knowledge of the Company, any third party acting for or on behalf of the Company, has (i) taken any action in violation of any applicable Anti-Corruption Law, (ii) offered, authorized, provided or given any payment or thing of value to any Government Official for the purpose of influencing any act or decision in violation of his or her lawful duty or (iii) induced any Government Official to use his or her influence to affect or influence any act or decision of a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past five years, the Company has not conducted or initiated any internal investigation or made (or been directed to make) a voluntary, directed, or involuntary disclosure to any Governmental Authority regarding any alleged act or omission arising under or relating to any noncompliance with any applicable Anti-Corruption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to the Knowledge of the Company, in the past five years: (i) complied in all material respects with applicable Trade Controls and (ii) not received any written notice that it is the subject of any investigation or enforcement action or other legal proceedings by any Governmental Authority with respect to any actual or alleged violation of Trade Controls and has not been notified in writing of any such pending or threatened action. To the Knowledge of the Company, the Company has, since April 24, 2019: (A) complied in all material respects with applicable Sanctions; (B) not engaged in any transaction or dealing, direct or indirect, with or involving a Sanctioned Country, Russia, or a Sanctioned Person in violation of any applicable Sanctions; and (C) not received any written notice that it is the subject of any investigation or enforcement action by any Governmental Authority with respect to any actual or alleged violation of Sanctions and has not been notified in writing of any such pending or threatened action. Neither the Company nor any of its directors, officers, employees or, to the Knowledge of the Company, any third party acting for or on behalf of the Company is (x) a Sanctioned Person; (y) subject to debarment or any list-based designations under any Trade Controls; or (z) engaged, or has since April 24, 2019 engaged, in any transaction, dealing, or activity that might reasonably be expected to cause such Person to become a Sanctioned Person, except, in each case, as would not be material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caps w:val="false"/>
          <w:smallCaps w:val="false"/>
          <w:sz w:val="20"/>
        </w:rPr>
        <w:t>Permits</w:t>
      </w:r>
      <w:r>
        <w:rPr>
          <w:rFonts w:ascii="Times New Roman;Times;Serif" w:hAnsi="Times New Roman;Times;Serif"/>
          <w:b w:val="false"/>
          <w:i w:val="false"/>
          <w:caps w:val="false"/>
          <w:smallCaps w:val="false"/>
          <w:sz w:val="20"/>
        </w:rPr>
        <w:t>. Except in each case as would not reasonably be expected to have a Company Material Adverse Effect: (a) the Company is and the Company has been since January 1, 2023 in possession of all licenses, permits, certificates, clearances, commissions, franchises, exemptions, orders, approvals, billing and authorizations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necessary for the Company to own, lease and operate their properties and assets or for the conduct of their business as presently conducted and such Permits are valid and in full force and effect; (b) the Company has not received written notice from any Governmental Authority threatening to suspend, revoke, withdraw or modify any such Permit or to initiate an investigation or review of the Company; and (c) the Company is in compliance with the terms of such Permits.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caps w:val="false"/>
          <w:smallCaps w:val="false"/>
          <w:sz w:val="20"/>
        </w:rPr>
        <w:t>Employee Benefit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3.11(a)</w:t>
      </w:r>
      <w:r>
        <w:rPr>
          <w:rFonts w:ascii="Times New Roman;Times;Serif" w:hAnsi="Times New Roman;Times;Serif"/>
          <w:b w:val="false"/>
          <w:i w:val="false"/>
          <w:caps w:val="false"/>
          <w:smallCaps w:val="false"/>
          <w:sz w:val="20"/>
        </w:rPr>
        <w:t xml:space="preserve"> of the Company Disclosure Schedule sets forth a true and complete list, as of the date of this Agreement, of each Company Benefit Plan. True, complete and correct copies of the following documents, with respect to each Company Benefit Plan, where applicable, have previously been delivered to Parent: (i) all documents embodying or governing such Company Benefit Plan (or for unwritten any Company Benefit Plan, a written description of the material terms of such Company Benefit Plan) and any funding medium for the Company Benefit Plan; (ii) the most recent IRS determination or opinion letter; (iii) the three most recently filed Form 5500s, including all schedules thereto (including financial statements with attached opinions of independent accounts); (iv) the most recent summary plan description (or other material descriptions provided to employees) and all modifications thereto; (v) the past three years of non-discrimination testing results; and (vi) all non-routine correspondence to and from any governmental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Company Benefit Plan has been established, administered, maintained, operated, and funded in all material respects in accordance with its terms and all applicable laws, including ERISA, the Code and the PPACA. With respect to each Company Benefit Plan, no prohibited transactions (as defined in ERISA Section 406 or Section 4975 of the Code) for which an applicable statutory or administrative exemption does not exist have occurred and, to the Company’s Knowledge, no breaches of any of the duties imposed on Company Benefit Plan fiduciaries by ERISA with respect to the Company Benefit Plans that could result in any material liability or excise Tax under ERISA or the Code being imposed on the Company. Each Company Benefit Plan may be amended or terminated by the Company or Parent on or at any time after the Closing Date without liability to the Company or Parent other than the obligation to pay any benefits accrued prior to the amendment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Company Benefit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Company Benefit Plan is, or within the past six years has been, the subject of an application or filing under a government sponsored amnesty, voluntary compliance, or similar program, and no completed audit, compliance filing or closing agreement from any Governmental Authority that has resulted in the imposition of any material Tax, interest or penalty that has not been satisfied. All payments and/or contributions required to have been timely made with respect to all Company Benefit Plans either have been made or have been accrued in accordance with the terms of the applicable Company Benefit Plan and applicable law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Company Benefit Plan which is intended to qualify under Section 401(a) of the Code is so qualified and has received a favorable determination letter from the IRS, or with respect to a pre-approved plan, can rely on an opinion or advisory letter from the IRS to the pre-approved plan sponsor, as to its qualified status. To the Company’s Knowledge, no fact or event has occurred that could reasonably be expected to adversely affect the qualified status of any such Company Benefit Plan or the exempt status of any associated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Legal Proceeding has been brought, or to the Knowledge of the Company is threatened, against or with respect to any such Company Benefit Plan (other than routine benefits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Company nor any ERISA Affiliate has currently or in the past six years maintained, contributed to, or been required to contribute to or had any liability or obligation (whether contingent or otherwise) with respect to (i) any employee benefit plan that is or was subject to Title IV of ERISA or Section 412 or Section 4971 of the Code, (ii) a Multiemployer Plan, (iii) any “multiple employer plan” (within the meaning of Section 210 of ERISA or Section 413(c) of the Code), (iv) any “multiple employer welfare arrangement” (as such term is defined in Section 3(40) of ERISA), or (v) any voluntary employees’ beneficiary association (within the meaning of Section 501(c)(9)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its ERISA Affiliates, and each Company Benefit Plan are in compliance with the PPACA in all material respects, including compliance with all filing and reporting requirements, all waiting periods, and the offering of affordable health insurance coverage compliant with the PPACA to all employees and contractors who meet the definition of a full-time employee under the PPACA. To the Company’s Knowledge, no condition exists that could cause the Company or any of its ERISA Affiliates to have any liability for any material assessable payment, taxes, or other penalties under Section 4980H of the Code or otherwise under the PPACA or in connection with requirements relating thereto. To the Company’s Knowledge, no event has occurred or condition exists that could subject the Company or any of its ERISA Affiliates to have any material liability on account of a violation of the health care requirements of Part 6 or 7 of Title I of ERISA or Section 4980B or 4980D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Except as set forth in </w:t>
      </w:r>
      <w:r>
        <w:rPr>
          <w:rFonts w:ascii="Times New Roman;Times;Serif" w:hAnsi="Times New Roman;Times;Serif"/>
          <w:b w:val="false"/>
          <w:i w:val="false"/>
          <w:caps w:val="false"/>
          <w:smallCaps w:val="false"/>
          <w:sz w:val="20"/>
          <w:u w:val="single"/>
        </w:rPr>
        <w:t>Section 3.11(h)</w:t>
      </w:r>
      <w:r>
        <w:rPr>
          <w:rFonts w:ascii="Times New Roman;Times;Serif" w:hAnsi="Times New Roman;Times;Serif"/>
          <w:b w:val="false"/>
          <w:i w:val="false"/>
          <w:caps w:val="false"/>
          <w:smallCaps w:val="false"/>
          <w:sz w:val="20"/>
        </w:rPr>
        <w:t xml:space="preserve"> of the Company Disclosure Schedule, neither the execution of this Agreement nor the consummation of the Merger (alone or in conjunction with any other event, including any termination of employment) would reasonably be expected to (i) entitle any current or former Service Provider to any additional compensation or benefits under any of the Company Benefit Plans, (ii) accelerate the time of payment or vesting or result in any payment or funding (through a grantor trust or otherwise) of compensation or benefits under any of the Company Benefit Plans, (iii) result in any restriction on the right of the Company, after the consummation of the Merger, the Surviving Corporation, to merge, amend or terminate any of the material Company Benefit Plans, or (iv) result in the payment of any “excess parachute payment” under Section 280G of the Code that would preclude the Company from taking a tax deduction in the amount of such “excess parachute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does not provides post-employment, medical, disability, or life insurance benefits to former employees or their dependents, other than (i) as required by law, or (ii) the full cost of which is borne by the former employees (or their dependents). No Company Benefit Plan provides benefits to any individual who is not a current or former employee of the Company or a dependent or beneficiary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Company Benefit Plan or other benefit arrangement covers any employee or former employee outside the United States or is subject to the laws of any jurisdiction outside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Except as set forth in </w:t>
      </w:r>
      <w:r>
        <w:rPr>
          <w:rFonts w:ascii="Times New Roman;Times;Serif" w:hAnsi="Times New Roman;Times;Serif"/>
          <w:b w:val="false"/>
          <w:i w:val="false"/>
          <w:caps w:val="false"/>
          <w:smallCaps w:val="false"/>
          <w:sz w:val="20"/>
          <w:u w:val="single"/>
        </w:rPr>
        <w:t>Section 3.11(k)</w:t>
      </w:r>
      <w:r>
        <w:rPr>
          <w:rFonts w:ascii="Times New Roman;Times;Serif" w:hAnsi="Times New Roman;Times;Serif"/>
          <w:b w:val="false"/>
          <w:i w:val="false"/>
          <w:caps w:val="false"/>
          <w:smallCaps w:val="false"/>
          <w:sz w:val="20"/>
        </w:rPr>
        <w:t xml:space="preserve"> of the Company Disclosure Schedule, the Company does not have any obligation to provide any tax gross-up, tax equalization, or other similar Tax-related payment or benefit, including without limitation, with respect to any taxes arising under Section 409A, Section 280G or Section 4999 of the Code.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caps w:val="false"/>
          <w:smallCaps w:val="false"/>
          <w:sz w:val="20"/>
        </w:rPr>
        <w:t>Employee and Labor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not and has never been a party to or bound by a collective bargaining agreement or other Contract (each, a “</w:t>
      </w:r>
      <w:r>
        <w:rPr>
          <w:rFonts w:ascii="Times New Roman;Times;Serif" w:hAnsi="Times New Roman;Times;Serif"/>
          <w:b/>
          <w:i w:val="false"/>
          <w:caps w:val="false"/>
          <w:smallCaps w:val="false"/>
          <w:sz w:val="20"/>
        </w:rPr>
        <w:t>Labor Agreement</w:t>
      </w:r>
      <w:r>
        <w:rPr>
          <w:rFonts w:ascii="Times New Roman;Times;Serif" w:hAnsi="Times New Roman;Times;Serif"/>
          <w:b w:val="false"/>
          <w:i w:val="false"/>
          <w:caps w:val="false"/>
          <w:smallCaps w:val="false"/>
          <w:sz w:val="20"/>
        </w:rPr>
        <w:t>”), or any duty to bargain, with any labor union, labor organization, works council or other employee representative body (each, a “</w:t>
      </w:r>
      <w:r>
        <w:rPr>
          <w:rFonts w:ascii="Times New Roman;Times;Serif" w:hAnsi="Times New Roman;Times;Serif"/>
          <w:b/>
          <w:i w:val="false"/>
          <w:caps w:val="false"/>
          <w:smallCaps w:val="false"/>
          <w:sz w:val="20"/>
        </w:rPr>
        <w:t>Union</w:t>
      </w:r>
      <w:r>
        <w:rPr>
          <w:rFonts w:ascii="Times New Roman;Times;Serif" w:hAnsi="Times New Roman;Times;Serif"/>
          <w:b w:val="false"/>
          <w:i w:val="false"/>
          <w:caps w:val="false"/>
          <w:smallCaps w:val="false"/>
          <w:sz w:val="20"/>
        </w:rPr>
        <w:t>”), and no current or former employee of the Company is or has ever been represented by a Union with respect to their employment with the Company. There are no material labor disputes currently pending or filed since January 1, 2023 under any formal grievance procedure or in any arbitration or litigation proceeding. Since January 1, 2023, there has not been any (i) pending, or, to the Company’s Knowledge, threatened, labor strike, slowdown, lockout, picketing, work stoppage or other labor dispute involving employees of the Company, or (ii) to the Company’s Knowledge, any union organizing activity, request for recognition of a Union as bargaining representative or union representation proceeding before the National Labor Relations Board, in each case with respect to any employees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made available to Parent a complete and accurate list of all employees of the Company as of the date hereof, including each employee’s employing entity, position or title, annualized base salary or hourly wage (as applicable), annual commission opportunity or bonus potential for calendar year 2025, date of hire, business location (city and state), classification as exempt or non-exempt for wage and hour purposes, balance of accrued but unused vacation or paid time off, and whether the employee is on leave or layoff status and, if so, the expected date of return.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made available to Parent a complete and accurate list of all natural person independent contractors of the Company as of the date hereof, showing for each such independent contractor: the engaging entity, nature of services provided, initial date retained to perform services, the anticipated end date of the engagement, the primary location from which services are performed (city and state), a description of the fee or compensation arrangement, average hours worked per week, the total fees paid to date in 2025 and total fees paid in 2024; and the extent of notice required for termination of the relationship.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on </w:t>
      </w:r>
      <w:r>
        <w:rPr>
          <w:rFonts w:ascii="Times New Roman;Times;Serif" w:hAnsi="Times New Roman;Times;Serif"/>
          <w:b w:val="false"/>
          <w:i w:val="false"/>
          <w:caps w:val="false"/>
          <w:smallCaps w:val="false"/>
          <w:sz w:val="20"/>
          <w:u w:val="single"/>
        </w:rPr>
        <w:t>Section 3.12(d)</w:t>
      </w:r>
      <w:r>
        <w:rPr>
          <w:rFonts w:ascii="Times New Roman;Times;Serif" w:hAnsi="Times New Roman;Times;Serif"/>
          <w:b w:val="false"/>
          <w:i w:val="false"/>
          <w:caps w:val="false"/>
          <w:smallCaps w:val="false"/>
          <w:sz w:val="20"/>
        </w:rPr>
        <w:t xml:space="preserve"> of the Company Disclosure Schedule, the employment or engagement of all employees and individual independent contractors of the Company can be terminated by the employer at will at any time, without prior notice or payment of severance or other penalty.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is, and has been in the past five years, in compliance with, in all material respects, all applicable Laws respecting employment and employment practices including all Laws respecting terms and conditions of employment, leave, wage payment, worker classification, wages and hours, child labor, immigration and work authorizations (including the completion of Forms I-9 for all employees and the proper confirmation of employee visas), employment discrimination, disability rights or benefits, equal opportunity, plant closures and layoffs (including the Worker Adjustment and Retraining Notification Act of 1988, as amended, or any similar state or local Laws (“</w:t>
      </w:r>
      <w:r>
        <w:rPr>
          <w:rFonts w:ascii="Times New Roman;Times;Serif" w:hAnsi="Times New Roman;Times;Serif"/>
          <w:b/>
          <w:i w:val="false"/>
          <w:caps w:val="false"/>
          <w:smallCaps w:val="false"/>
          <w:sz w:val="20"/>
        </w:rPr>
        <w:t>WARN Act</w:t>
      </w:r>
      <w:r>
        <w:rPr>
          <w:rFonts w:ascii="Times New Roman;Times;Serif" w:hAnsi="Times New Roman;Times;Serif"/>
          <w:b w:val="false"/>
          <w:i w:val="false"/>
          <w:caps w:val="false"/>
          <w:smallCaps w:val="false"/>
          <w:sz w:val="20"/>
        </w:rPr>
        <w:t>”)), affirmative action, workers’ compensation, health and safety, labor relations, social welfare obligations and unemployment insurance. There are no Legal Proceedings pending, or to the Company’s Knowledge, threatened, against the Company (i) asserting that such entity has committed an unfair labor practice within the meaning of the National Labor Relations Act, (ii) relating to the Company’s employment practices or by any current or former employee or independent contractor arising out of or in connection with their employment or engagement with the Company, and there have been no such Legal Proceedings referred to in clauses (i) and (ii) in the past four years. At all times in the past five years, all individual service providers to the Company have been properly classified by the Company as exempt employees, non-exempt employees or non-employees for purposes of all applicable Laws. The Company has on file a complete and current Form I-9 for all current and former employees to the extent required by federal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past five years, the Company has never received any written or oral complaint, demand, or notice alleging that any employee or independent contractor of the Company has engaged in sexual harassment, sex-based discrimination or other sexual misconduct, or has breached any policy of the Company relating to the foregoing, whether or not unlawful, nor has any such allegation been investigated, settled or subject to an out-of-court or pre-litigation arrangement or the subject of any Legal Proceeding against or involving the Company, nor to the Company’s Knowledge has any such Person engaged in any such conduct in the past five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past five years, there has been no “mass layoff,” or “plant closing” as defined by the WARN Act in respect of the Company, and the Company has never been affected by any transaction or engaged in any layoffs or employment terminations sufficient in number to trigger application of any such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the Knowledge of the Company, no current employee of the Company is in violation, to the extent that it would be material, of: (i) any employment agreement, nondisclosure agreement, common law nondisclosure obligation, fiduciary duty, noncompetition agreement, nonsolicitation agreement, restrictive covenant, or other legal obligation owed to the Company; or (ii) any legal obligation owed to any third party with respect to such person’s right to be employed or engaged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caps w:val="false"/>
          <w:smallCaps w:val="false"/>
          <w:sz w:val="20"/>
        </w:rPr>
        <w:t>Environmental Matters</w:t>
      </w:r>
      <w:r>
        <w:rPr>
          <w:rFonts w:ascii="Times New Roman;Times;Serif" w:hAnsi="Times New Roman;Times;Serif"/>
          <w:b w:val="false"/>
          <w:i w:val="false"/>
          <w:caps w:val="false"/>
          <w:smallCaps w:val="false"/>
          <w:sz w:val="20"/>
        </w:rPr>
        <w:t>. Except in each case, as would not reasonably be expected to be material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is in compliance with all, and is not subject to any liability with respect to noncompliance with any, Environmental Laws, (ii) has and holds all Environmental Permits necessary for the conduct of their business and the use of their properties and assets, as currently conducted and used, and (iii) is in compliance with their respective Environmental Permits, in each case, including with respect to the Leased 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Environmental Claims pending against the Company, and the Company has not received any written notification of any allegation of actual or potential responsibility for any Release or threatened Release of any Hazardous Substance, in each case, including with respect to the Leased 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 has not entered into or agreed to any consent decree or consent order and is not otherwise subject to any judgment, decree, or judicial or administrative order relating to compliance with Environmental Laws, Environmental Permits or to the investigation, sampling, monitoring, treatment, remediation, response, removal or cleanup of any Hazardous Substance and no Legal Proceeding is pending or, to the Knowledge of the Company, threatened with respect thereto, or (ii) is not, to the knowledge of the Company, an indemnitor by contract or otherwise in connection with any claim, demand, suit or action threatened or asserted by any third-party for any liability under any Environmental Law or otherwise relating to any Hazardous Substance, in each case, including with respect to the Leased 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in this Agreement, the representations and warranties contained in this </w:t>
      </w:r>
      <w:r>
        <w:rPr>
          <w:rFonts w:ascii="Times New Roman;Times;Serif" w:hAnsi="Times New Roman;Times;Serif"/>
          <w:b w:val="false"/>
          <w:i w:val="false"/>
          <w:caps w:val="false"/>
          <w:smallCaps w:val="false"/>
          <w:sz w:val="20"/>
          <w:u w:val="single"/>
        </w:rPr>
        <w:t>Section 3.13(d)</w:t>
      </w:r>
      <w:r>
        <w:rPr>
          <w:rFonts w:ascii="Times New Roman;Times;Serif" w:hAnsi="Times New Roman;Times;Serif"/>
          <w:b w:val="false"/>
          <w:i w:val="false"/>
          <w:caps w:val="false"/>
          <w:smallCaps w:val="false"/>
          <w:sz w:val="20"/>
        </w:rPr>
        <w:t xml:space="preserve"> are the only representations and warranties being made by the Company with respect to compliance with or liability under Environmental Laws or with respect to any environmental matter, including Hazardous Substances.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val="false"/>
          <w:i/>
          <w:caps w:val="false"/>
          <w:smallCaps w:val="false"/>
          <w:sz w:val="20"/>
        </w:rPr>
        <w:t>Real Property; Title to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does not own nor has ever owned the fee simple interest to any 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made available to Parent copies of all existing leases, subleases and other agreements (the “</w:t>
      </w:r>
      <w:r>
        <w:rPr>
          <w:rFonts w:ascii="Times New Roman;Times;Serif" w:hAnsi="Times New Roman;Times;Serif"/>
          <w:b/>
          <w:i w:val="false"/>
          <w:caps w:val="false"/>
          <w:smallCaps w:val="false"/>
          <w:sz w:val="20"/>
        </w:rPr>
        <w:t>Company Real Property Leases</w:t>
      </w:r>
      <w:r>
        <w:rPr>
          <w:rFonts w:ascii="Times New Roman;Times;Serif" w:hAnsi="Times New Roman;Times;Serif"/>
          <w:b w:val="false"/>
          <w:i w:val="false"/>
          <w:caps w:val="false"/>
          <w:smallCaps w:val="false"/>
          <w:sz w:val="20"/>
        </w:rPr>
        <w:t>”) under which the Company occupies or has the right to occupy any real property (“</w:t>
      </w:r>
      <w:r>
        <w:rPr>
          <w:rFonts w:ascii="Times New Roman;Times;Serif" w:hAnsi="Times New Roman;Times;Serif"/>
          <w:b/>
          <w:i w:val="false"/>
          <w:caps w:val="false"/>
          <w:smallCaps w:val="false"/>
          <w:sz w:val="20"/>
        </w:rPr>
        <w:t>Company Leased Real Property</w:t>
      </w:r>
      <w:r>
        <w:rPr>
          <w:rFonts w:ascii="Times New Roman;Times;Serif" w:hAnsi="Times New Roman;Times;Serif"/>
          <w:b w:val="false"/>
          <w:i w:val="false"/>
          <w:caps w:val="false"/>
          <w:smallCaps w:val="false"/>
          <w:sz w:val="20"/>
        </w:rPr>
        <w:t>”), which copies are used in the Company’s operations of the Company Leased Real Property. Each Company Real Property Lease is valid, binding and in full force and effect and enforceable against the Company and, to the Knowledge of the Company, each other party thereto in accordance with its terms, except to the extent such enforceability may be limited by (i) bankruptcy, insolvency, reorganization, moratorium or other similar Laws nor or hereafter in effect relating to creditors’ rights generally, and (ii) general principles of equity (regardless of whether enforceability is considered in a proceeding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the Company, neither the Company nor the landlord thereunder is in breach or default under any Company Real Property Lease. The Company has never received any written notice of default under any Company Real Property Lease in any material respect which has not been fully cured and corrected. The Company has a good and valid leasehold interest in the Company Leased Real Property free and clear of all Liens, except for (A) those reflected or reserved against in the balance sheet of the Company as of March 31, 2026 included in the Company Form 10-Q and (B) Company Permitted Liens. The Company has not subleased, assigned, licensed or permitted the use or occupancy of all or any part of the Company Leased Real Property by any other party except as permitted by the Company Real Property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received no written notice of any pending or threatened condemnation proceedings affecting any portion of the Company Leased Real Property which would reasonably be expected to materially and adversely affect the Company’s use of the Company Leased Real Property. The Company has received no written notice of (i) material defaults under any easements, covenants, restrictions or similar matters affecting any portion of the Company Leased Real Property, (ii) lawsuits or administrative actions or proceedings alleging violations of any Laws by any Company Leased Real Property in any material respect, or (iii) actual or threatened special assessments or reassessments of the Company Leased Real Property which would reasonably be expected to materially and adversely affect the Company’s use of the Company Leased Real Property, in each case, which remain uncured or outstanding. The Company has not affirmatively granted to any Person any option or right of first refusal to purchase or acquire or lease any portion of the Company Leased Real Property except as permitted by any Company Real Property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has legal title to, or a valid and enforceable right to use, all equipment and other tangible personal property that is material to the operation of the business of the Company in the ordinary course of business, in each case, free and clear of any and all Liens except Company Permitted Liens or Liens that will be released at or before the Effective Time. All of such equipment and other tangible personal property has been maintained in accordance with normal industry practice in all material respects.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caps w:val="false"/>
          <w:smallCaps w:val="false"/>
          <w:sz w:val="20"/>
        </w:rPr>
        <w:t>Tax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timely filed or has caused to be timely filed all material income, franchise and other Tax Returns required to be filed by or with respect to it (taking into account any valid extension of time within which to file), and all such Tax Returns are materially accurate and complete and in compliance with applicable Tax Law. The Company has fully and timely paid or caused to be fully and timely paid all material Taxes required to be paid by it (including any Taxes due and payable to the extent required by Company Real Property Leases), other than Taxes that are not yet due and payable or that are being contested in good faith in appropriate proceedings and for which adequate reserves have been established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deficiency for any Tax has been asserted or assessed by a taxing authority against the Company which deficiency has not been paid or is not being contested in good faith in appropriate proceedings and adequately reserved in accordance with GAAP.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complied in all material respects with applicable Tax Law with respect to the withholding of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is no pending or, to the Knowledge of the Company, threatened in writing audit, examination, claim, or notice of deficiency in respect of any Taxes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Liens for Taxes on any of the assets, rights or properties of the Company other than Company Permitted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not waived any statute of limitations with respect to Taxes or agreed to any extension of time with respect to a Tax assessment or deficiency.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written claim has been received by the Company from a Governmental Entity in a jurisdiction where the Company does not file Tax Returns that it is or may be subject to taxation by that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will not be required to include any item of income in, or to exclude any item of deduction from, taxable income for any taxable period (or portion thereof) beginning after the Closing Date as a result of any (A) change in method of accounting or improper method of accounting with respect to a taxable period (or portion thereof) on or prior to the Closing Date; (B) “closing agreement” as described in Section 1721 of the Code (or similar provision of state, local or foreign Law), entered into on or prior to the Closing Date; (C) intercompany transaction or excess loss account described in Treasury Regulations under Section 1502 of the Code (or any similar provision of state, local, or foreign Law); (D) installment sale or open transaction made on or prior to the Closing Date; (E) prepaid amount received or deferred revenue accrued on or prior to the Closing Date; or (F) election under Section 108(i)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does not have any liability for Taxes of any Person (other than the Company) under Treasury Regulation Section 1.1502-6 (or any similar provision of local, state or foreign Law), as a transferee or successor,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is not a party to or is not bound by any Tax sharing, allocation or indemnification agreement or arrangement, other than such an agreement or arrangement entered into in the ordinary course of business the primary purpose of which is not related to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is not and has never been a member of an affiliated group filing consolidated or combined Tax Returns.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During any tax period for which the statute of limitations has not expired, the Company has not been a “distributing corporation” or a “controlled corporation” in a distribution intended to qualify for tax-free treatment under Section 355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has never participated in any “reportable transaction” within the meaning of Treasury Regulation Section 1.6011-4 (or a similar provision of local, state or foreign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has properly (i) collected and remitted sales, use, value added and similar Taxes with respect to sales made to its customers or services provided to its customers and (ii), for all sales or services that are exempt from sales, use, value added and similar Taxes and that were made without charging or remitting such Taxes, received and retained any appropriate Tax exemption certificates and other documentation qualifying such sale or service as exempt.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has not (i) filed, requested, received, or entered into, or has pending, any ruling requests with any taxing authority relating to Taxes, including any request to change any accounting method which is still in effect, or (ii) granted to any Person any power of attorney that is in force with respect to any income Tax matter.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To the Knowledge of the Company, as of the date of this Agreement, the net operating losses or other Tax attributes with respect to the Company are not currently subject to any limitation under Sections 382, 383 or 384 of the Code.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caps w:val="false"/>
          <w:smallCaps w:val="false"/>
          <w:sz w:val="20"/>
        </w:rPr>
        <w:t>Material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date of this Agreement, the Company is not a party to any Contract required to be filed by the Company as a “material contract” pursuant to Item 601(b)(10) of Regulation S-K promulgated by the SEC that has not been so filed.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3.16(b)</w:t>
      </w:r>
      <w:r>
        <w:rPr>
          <w:rFonts w:ascii="Times New Roman;Times;Serif" w:hAnsi="Times New Roman;Times;Serif"/>
          <w:b w:val="false"/>
          <w:i w:val="false"/>
          <w:caps w:val="false"/>
          <w:smallCaps w:val="false"/>
          <w:sz w:val="20"/>
        </w:rPr>
        <w:t xml:space="preserve"> of the Company Disclosure Schedule sets forth, as of the date of this Agreement, a true and complete list, and the Company has made available to Parent true and complete copies, of:</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Contracts concerning the establishment or operation of a legal partnership, joint venture or multi-member limited liability company;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stockholders’, investors rights’, registration rights or similar Contracts, agreements or arrangements;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all hedging, swap, derivative or similar Contracts;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Contracts, excluding Lease Agreements, requiring capital expenditures by the Company after the date hereof in an amount in excess of $50,000 annually;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all Contracts pursuant to which a third party has licensed or granted the Company any license or right to exploit any Intellectual Property other than non-exclusive licenses for any generally commercially available products, services;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all Contracts pursuant to which the Company has granted or provided any third party any license or right to exploit any Company Intellectual Property or Company Offerings (including rights to use, distribute or resell any Company Offerings) or has agreed to or is required to provide or perform any services related to any Company Offerings, other than non-disclosure Contracts entered into in the ordinary course of business consistent with past practice that do not contain an express license to any Company Owned Intellectual Property other than the use of the information and content disclosed thereunder for the limited purpose stated therein;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all Contracts containing a grant by the Company of any immunity, release, or covenant not to sue or not to assert claims, in each case with respect to any Company Owned Intellectual Property, including any concurrent use agreement, settlement agreement, pre-rights declaration or co-existence agreement with respect to any Company Owned Intellectual Property;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all Contracts the primary purpose of which is the development of any Intellectual Property, independently or jointly, by or for the Company, excluding Contracts with employees and contractors of the Company entered into in the ordinary course of business consistent with past practice and pursuant to a form of agreement made available to the Buyer Parties;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all lease agreements of the Company that pertain to each Company Leased Real Property (each, a “</w:t>
      </w:r>
      <w:r>
        <w:rPr>
          <w:rFonts w:ascii="Times New Roman;Times;Serif" w:hAnsi="Times New Roman;Times;Serif"/>
          <w:b/>
          <w:i w:val="false"/>
          <w:caps w:val="false"/>
          <w:smallCaps w:val="false"/>
          <w:sz w:val="20"/>
        </w:rPr>
        <w:t>Lease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all Labor Agreements;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all plans or Contracts providing for (A) the employment of any employee of the Company that cannot be terminated by the employer at will at any time with 30 days’ notice or less, (B) the engagement of any individual contractor of the Company that cannot be terminated by the Company at will at any time with 30 days’ notice or less, or (C) payment of any change in control or transaction bonuses, retention bonuses, or severance benefits, or annualized base cash compensation in excess of $100,000, to any employee or independent contractor of the Company;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all Contracts: (A) materially restricting the ability of the Company (or Parent or any of its Affiliates after the Effective Time) to (i) sell any products or services of or to any other Person or in any geographic region, (ii) engage in any line of business or (iii) compete with or to obtain products or services from any Person or limiting the ability of any Person to provide products or services to the Company or any of its Affiliates; (B) granting the other party “most favored nation” status or equivalent preferential pricing terms; or (C) granting any right of first refusal or right of first offer or that limit the ability of the Company or any of its Affiliates (including Parent or any of its Affiliates after the Effective Time) to own, operate, sell, transfer, pledge or otherwise dispose of any businesses or assets;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Contracts pursuant to which the Company has continuing obligations involving payment of royalties or other amounts calculated based upon any revenues or income of the Company, in each case, (A) where such continuing payment obligations are reasonably expected to exceed $150,000 in the aggregate over the remaining term of such Contract and (B) that cannot be terminated by the Company without payment or penalty without more than 60 days’ notice;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Contract (A) relating to Indebtedness of the Company or (B) that grants a Lien, other than a Permitted Lien, with respect to any material asset or property of the Company;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Contract relating to any loan or other extension of credit made by the Company;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settlements or similar Contracts restricting in any material respect the operations or conduct of the Company or any of their respective Affiliates (including Parent and its Affiliates after the Effective Time);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all Contracts between the Company, on the one hand, and any officer, director or affiliate of the Company, any beneficial owner, directly or indirectly, of more than five percent (5%) of the shares of Company Common Stock or any of their respective “associates” or “immediate family” members (as such terms are defined in Rule 12b-2 and Rule 16a-1 of the Exchange Act), on the other hand, including any Contract pursuant to which the Company has an obligation to indemnify such officer, director, affiliate, beneficial owner or family member;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all Contracts with a Governmental Authority;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all Contracts to settle a Legal Proceeding (A) involving payment of amounts over $25,000 or (B) where there are outstanding obligations to be fulfilled or payments to be made by the Company;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all Contracts providing for indemnification or any guaranty, in each case, under which the Company has continuing obligations as of the date of this Agreement (other than any Contract providing for indemnification ancillary to a related commercial arrangement entered into the ordinary course of business consistent with past practice); and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all Contracts relating to the disposition or acquisition of any material business or material assets (whether by merger, sale of stock, sale of assets or otherwise) (A) entered into since January 1, 2023 or (B) that contain any outstanding non-competition, earn-out or other contingent payment obligations or any other outstanding material obligation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would not have or reasonably be expected to have a Company Material Adverse Effect (i) all Contracts set forth in (or required to be set forth in) </w:t>
      </w:r>
      <w:r>
        <w:rPr>
          <w:rFonts w:ascii="Times New Roman;Times;Serif" w:hAnsi="Times New Roman;Times;Serif"/>
          <w:b w:val="false"/>
          <w:i w:val="false"/>
          <w:caps w:val="false"/>
          <w:smallCaps w:val="false"/>
          <w:sz w:val="20"/>
          <w:u w:val="single"/>
        </w:rPr>
        <w:t>Section 3.16(a)</w:t>
      </w:r>
      <w:r>
        <w:rPr>
          <w:rFonts w:ascii="Times New Roman;Times;Serif" w:hAnsi="Times New Roman;Times;Serif"/>
          <w:b w:val="false"/>
          <w:i w:val="false"/>
          <w:caps w:val="false"/>
          <w:smallCaps w:val="false"/>
          <w:sz w:val="20"/>
        </w:rPr>
        <w:t xml:space="preserve"> of the Company Disclosure Schedule (collectively, the “</w:t>
      </w:r>
      <w:r>
        <w:rPr>
          <w:rFonts w:ascii="Times New Roman;Times;Serif" w:hAnsi="Times New Roman;Times;Serif"/>
          <w:b/>
          <w:i w:val="false"/>
          <w:caps w:val="false"/>
          <w:smallCaps w:val="false"/>
          <w:sz w:val="20"/>
        </w:rPr>
        <w:t>Company Material Contracts</w:t>
      </w:r>
      <w:r>
        <w:rPr>
          <w:rFonts w:ascii="Times New Roman;Times;Serif" w:hAnsi="Times New Roman;Times;Serif"/>
          <w:b w:val="false"/>
          <w:i w:val="false"/>
          <w:caps w:val="false"/>
          <w:smallCaps w:val="false"/>
          <w:sz w:val="20"/>
        </w:rPr>
        <w:t>”) are valid, binding and in full force and effect and are enforceable by the Company in accordance with their terms, subject to the Enforceability Limitations, (ii) the Company has performed all obligations required to be performed by it under the Company Material Contracts, and it is not (with or without notice or lapse of time, or both) in breach or default thereunder and, to the Knowledge of the Company, no other party to any Company Material Contract is (with or without notice or lapse of time, or both) in breach or default thereunder and (iii) since January 1, 2023, the Company has never received written notice of any actual, alleged, possible or potential violation of, or failure to comply with, any term or requirement of, or intention to cancel or modify in a manner adverse to the Company, any Company Material Contract.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w:t>
      </w:r>
      <w:r>
        <w:rPr>
          <w:rFonts w:ascii="Times New Roman;Times;Serif" w:hAnsi="Times New Roman;Times;Serif"/>
          <w:b w:val="false"/>
          <w:i/>
          <w:caps w:val="false"/>
          <w:smallCaps w:val="false"/>
          <w:sz w:val="20"/>
        </w:rPr>
        <w:t>Intellectual Property; Privacy.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 Section 3.17(a)</w:t>
      </w:r>
      <w:r>
        <w:rPr>
          <w:rFonts w:ascii="Times New Roman;Times;Serif" w:hAnsi="Times New Roman;Times;Serif"/>
          <w:b w:val="false"/>
          <w:i w:val="false"/>
          <w:caps w:val="false"/>
          <w:smallCaps w:val="false"/>
          <w:sz w:val="20"/>
        </w:rPr>
        <w:t xml:space="preserve"> of the Company Disclosure Schedule sets forth a list, as of the date of this Agreement, of all Company Registered Intellectual Property, including where applicable, the patent number, application number, registration number, filing date, date of issuance, applicant, registrant, title, name (or mark), owner(s), country of origin, and domain name registrar. None of the Company Registered Intellectual Property and no other Company Owned Intellectual Property has been adjudged invalid or unenforceable in whole or in part and all such Company Registered Intellectual Property and other Company Owned Intellectual Property is subsisting, valid and enforceable. As of the date of this Agreement, (i) no Legal Proceeding is currently or has been pending or threatened in writing (or to the Knowledge of the Company, orally) since January 1, 2023, that restricts, impairs or otherwise challenges or imposes any obligation with respect to the legality, validity, enforceability, registration, use or ownership of any Company Registered Intellectual Property, and (ii) there is not now, and since January 1, 2023 there has not been, any outstanding Order that restricts, impairs or otherwise challenges or imposes any obligation with respect to the legality, validity, enforceability, registration, use or ownership of any Company Registered Intellectual Property. The Company has not received any written charge, complaint, claim, demand or notice since January 1, 2023 challenging such legality, validity, enforceability, registration, use or ownership of any Company Owned Intellectual Property. No Company Registered Intellectual Property and no other Company Owned Intellectual Property material to the conduct of the business of the Company has, since January 1, 2023, been cancelled, abandoned, invalidated, allowed to lapse or expire, not renewed, or permitted to enter the public domain, except where any of the foregoing would not reasonably be expected to be material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 </w:t>
      </w:r>
      <w:r>
        <w:rPr>
          <w:rFonts w:ascii="Times New Roman;Times;Serif" w:hAnsi="Times New Roman;Times;Serif"/>
          <w:b w:val="false"/>
          <w:i w:val="false"/>
          <w:caps w:val="false"/>
          <w:smallCaps w:val="false"/>
          <w:sz w:val="20"/>
        </w:rPr>
        <w:t>The Company has good, valid and legal title to, is the sole and exclusive owner of, and possesses all right, title and interest in and to, the Company Owned Intellectual Property, free and clear of all Liens (other than Permitted Liens). The Company has a valid and enforceable right to use and exploit all Company Owned Intellectual Property and all other Company Intellectual Property in the manner currently used or exploited in its business, as well as in any manner necessary for the operation of its business. Neither the execution and delivery of this Agreement, nor the consummation of the transactions contemplated by this Agreement, will alter, impair or extinguish any such rights and the Company shall continue to have all such rights following Closing without infringement, misappropriation, or other violation of any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 </w:t>
      </w:r>
      <w:r>
        <w:rPr>
          <w:rFonts w:ascii="Times New Roman;Times;Serif" w:hAnsi="Times New Roman;Times;Serif"/>
          <w:b w:val="false"/>
          <w:i w:val="false"/>
          <w:caps w:val="false"/>
          <w:smallCaps w:val="false"/>
          <w:sz w:val="20"/>
        </w:rPr>
        <w:t>Neither the execution and delivery of this Agreement, nor the consummation of the transactions contemplated by this Agreement, will result in: (i) the loss, forfeiture, termination, or impairment of, or give rise to a right of any Person to limit, terminate, or consent to the continued use of, any rights of the Company in any Company Intellectual Property; (ii) the Company granting to any third Person any right in or with respect to any Intellectual Property other than rights granted by the Company on or prior to the Closing Date; or (iii) the Company, being bound by, or subject to, any non-compete or other restriction on its freedom to engage in, participate in, operate or compete in any line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 </w:t>
      </w:r>
      <w:r>
        <w:rPr>
          <w:rFonts w:ascii="Times New Roman;Times;Serif" w:hAnsi="Times New Roman;Times;Serif"/>
          <w:b w:val="false"/>
          <w:i w:val="false"/>
          <w:caps w:val="false"/>
          <w:smallCaps w:val="false"/>
          <w:sz w:val="20"/>
        </w:rPr>
        <w:t>Neither the Company (including directly, as a contributory infringer, through inducement or otherwise) nor the conduct of the Company’s business (including any of the processes or business methods used by or at the direction of the Company or the use, practice, offering, licensing, provision, sale, distribution or other exploitation of any Company Offering), has since January 1, 2023 infringed, misappropriated, diluted or otherwise violated, or is infringing, misappropriating, diluting, or otherwise violating, the Intellectual Property of any Person, except as would not reasonably be expected to result in material liability to the Company or a Company Material Adverse Effect. The Company has not received any written charge, complaint, claim, demand, or notice since January 1, 2023 (or earlier, if presently not resolved) alleging any such infringement, misappropriation, dilution, or violation (including any written claim that the Company must license or refrain from using any Intellectual Property of any Person). To the Company’s Knowledge, (i) there has not been any unauthorized use or disclosure of, or any infringement, misappropriation, dilution or other violation of, any Company Owned Intellectual Property since January 1, 2023 and (ii) no Person is infringing, misappropriating, diluting or otherwise violating any Company Owned Intellectual Property. The Company has not made, asserted or been a part of any written charge, complaint, claim, demand or notice since January 1, 2023 (or earlier, if presently not resolved) alleging any such infringement, misappropriation, dilution, or violation. There is no Legal Proceeding related to any Company Owned Intellectual Property other than prosecution proceedings entered into in the ordinary course of business with the applicable issuing or granting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at all times since January 1, 2023, taken commercially reasonable actions (and, in any case, all actions required under applicable Law or Contract) to protect and preserve (i) the rights of the Company in and to all Company Owned Intellectual Property, (ii) the confidentiality and secrecy of its trade secrets and other confidential and proprietary information included in Company Intellectual Property and the trade secrets and other confidential or proprietary information of any Person, in the possession or control of Company (“</w:t>
      </w:r>
      <w:r>
        <w:rPr>
          <w:rFonts w:ascii="Times New Roman;Times;Serif" w:hAnsi="Times New Roman;Times;Serif"/>
          <w:b/>
          <w:i w:val="false"/>
          <w:caps w:val="false"/>
          <w:smallCaps w:val="false"/>
          <w:sz w:val="20"/>
        </w:rPr>
        <w:t>Company Confidential Information</w:t>
      </w:r>
      <w:r>
        <w:rPr>
          <w:rFonts w:ascii="Times New Roman;Times;Serif" w:hAnsi="Times New Roman;Times;Serif"/>
          <w:b w:val="false"/>
          <w:i w:val="false"/>
          <w:caps w:val="false"/>
          <w:smallCaps w:val="false"/>
          <w:sz w:val="20"/>
        </w:rPr>
        <w:t>”), and (iii) the security of its material Source Code, websites and systems (including the confidential data transmitted thereby or stored therein). To the Knowledge of the Company, since January 1, 2023, there has been no suspected or actual unauthorized access, use or disclosure of any Company Confidential Information or any other Company Owned Intellectual Property, or any other Company Intellectual Property in the Company’s custody or control, except as would not reasonably be expected to be material to the Company. No material Company Confidential Information has been disclosed to any Person other than pursuant to a written confidentiality Contract or other binding contractual obligations or professional obligations restricting the disclosure and use of such Company Confidential Information. There are no actions that must be taken by Company within 90 days of the Closing Date to obtain, maintain, perfect, preserve, or renew any material Company Owned Intellectual Property or any rights of Company therein or thereto, other than routine prosecution, maintenance and renewal actions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complied in all material respects with each license or agreement applicable to any Free or Open Source Software used by the Company in the development of, incorporated into, or combined or distributed with any Company Intellectual Property or Company Offerings. No portion of any Company Offering or any Company Software includes, imbeds, or incorporates, is bundled with or incorporated into, is distributed, delivered, or hosted with, is developed or maintained through the use of, or is otherwise reliant for its operation upon any Free or Open Source Software in such a manner that would reasonably be expected to: (i) require the Company to disclose or license to any Person any Source Code or trade secret; (ii) grant, or purports to grant, to any Person any rights or immunities under any Company Intellectual Property; (iii) require any Company Intellectual Property to be made available at no charge; or (iv) otherwise limit or restrict the right or ability of the Company to use or distribute any Company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Persons who are or were current or former employees, officers, consultants and contractors of the Company who have been involved in the creation or development of material Company Owned Intellectual Property have each duly executed and delivered valid and binding written agreements with the Company that: (i) include customary confidentiality obligations with respect to Company Confidential Information; and (ii) provide for the assignment to the Company (or, where applicable, the treatment as a “work made for hire”) of any Intellectual Property conceived, developed or created by such Persons in the course of their employment or engagement with the Company. To the Company’s Knowledge, no current or former employee, officer, consultant or contractor of the Company is in breach of any such agreement. To the Company’s Knowledge, no current or former employee, officer, consultant or contractor of the Company has asserted any claim, right or interest in or to any Company Intellectual Property. The Company has not made use of or employed any Intellectual Property created by any current or former employees, officers, consultants and contractors that is not Company Owned Intellectual Property, except to the extent the Company has valid rights to use such Intellectual Property and such use would not reasonably be expected to result in material liability to the Company or a Company Material Adverse Effect. The Company has complied in all material respects with all applicable Laws and Contracts with regard to compensation of employees, officers, independent consultants and contractors for the assignment of their inventions.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Source Code for all Company Offerings and all Company Software owned or purported to be owned by the Company is in the actual possession and exclusive control of the Company. The Company has not published, provided, deposited, disclosed, licensed or entered into any escrow arrangements with respect to, nor is the Company required to publish, provide, deposit, disclose or license to any Person, any Source Code for any Company Offerings or Company Software, except for disclosures to employees or contractors of the Company, in each case pursuant to valid and enforceable Contracts that prohibit use or disclosure of Source Code except solely to the extent required for the performance of services for the Company. No event has occurred, and no breach or similar condition exists, that (with or without notice or lapse of time, or both) would reasonably be expected to require the disclosure or delivery to any other Person of any Source Code for any Company Software. Neither the execution of this Agreement nor the consummation of the transactions contemplated hereby would reasonably be expected to, result in the release of any Source Code for any Company Software from or into escrow. The Company has obtained and maintained all licenses (in sufficient quantities and under sufficient terms) to Software and other Intellectual Property owned by third parties that are necessary in all material respects for the conduct of the business as currently conducted. The Company is in compliance in all material respects with all such licenses. The Company owns or has the right to exploit, and after Closing, the Surviving Corporation will continue to own or have the right to exploit, each item of the Company Software in the same manner and to the same extent as it was used immediately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Company’s Knowledge, no Company Software, Company Offerings, or Company IT Systems contain any defects, vulnerabilities, bugs or errors, any Software designed to disable any other Software or any computer or system automatically, with the passage of time, under the positive control of any Person or otherwise, or any Software enabling unauthorized access to or operation of or other disruption, impairment, modification, recordation, misuse, transmission, disablement or destruction of any other Software or any computer or system that, individually or in the aggregate, have resulted in or would reasonably be expected to result in material liability to the Company or a Company Material Adverse Effect. No warranty, indemnification requests or other claims have been asserted against the Company related to any Company Offering since January 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(1) No government funding or governmental grants from any Governmental Authority, or support, funding, resources or assistance from any university, college, other academic institutions, or non-profit research centers, were used in the development of any Company Owned Intellectual Property, and (2) no Person who was involved in or contributed to the creation or development of any Company Owned Intellectual Property has performed services for any Governmental Authority or received support, funding, resources or assistance from any university, college, other academic institutions, or non-profit research centers, in each case of (1) and (2), in a manner that would materially adversely affect the Company’s rights in and to any such Company Owned Intellectual Property or provide any right or interest in any such Intellectual Property to any Governmental Authority or any university, college, other academic institutions, or non-profit research centers. The Company is not and has not been a member of or contributor to a standards-setting organization or similar organization under which the Company has granted a license or has agreed or is obligated to grant a license, covenant not to sue or withhold enforcement under Company Owned Intellectual Property or that could, following Closing, require or obligate Parent to grant or offer to any other Person any license or right to any Company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IT Systems are sufficient for the operation of the business of the Company (taken as a whole) as currently conducted in all material respects. The Company IT Systems operate in all material respects in accordance with their documentation and specifications (including any documentation or specifications provided to customers and potential customers of the Company). All Company Information Systems have been maintained by technically competent personnel in accordance with standards set by the manufacturers or otherwise in accordance with reasonable industry standards. There are no material problems or defects in any Company Information Systems that prevent or would reasonably be expected to prevent such Company Information Systems from operating substantially as described in its applicable documentation or specifications. The Company has implemented commercially reasonable measures designed to safeguard the availability, security and integrity of the Company IT Systems, including implementing, maintaining, and complying with commercially reasonable backup, disaster recovery and software and hardware support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(i) has, and since January 1, 2023, as applicable, has had, comprehensive data privacy and information policies in place reasonably designed to comply with applicable Data Protection Laws and protect all data, including Personal Data and data relating to the customers of its business under its possession or control (collectively with Personal Data, “</w:t>
      </w:r>
      <w:r>
        <w:rPr>
          <w:rFonts w:ascii="Times New Roman;Times;Serif" w:hAnsi="Times New Roman;Times;Serif"/>
          <w:b/>
          <w:i w:val="false"/>
          <w:caps w:val="false"/>
          <w:smallCaps w:val="false"/>
          <w:sz w:val="20"/>
        </w:rPr>
        <w:t>Company Data</w:t>
      </w:r>
      <w:r>
        <w:rPr>
          <w:rFonts w:ascii="Times New Roman;Times;Serif" w:hAnsi="Times New Roman;Times;Serif"/>
          <w:b w:val="false"/>
          <w:i w:val="false"/>
          <w:caps w:val="false"/>
          <w:smallCaps w:val="false"/>
          <w:sz w:val="20"/>
        </w:rPr>
        <w:t>”) from a Data Security Incident and (ii) has implemented commercially reasonable procedures designed to detect Data Security Incidents. To the Company’s Knowledge, since January 1, 2023, the Company has not suffered any breach in security that has permitted or resulted in any suspected or actual unauthorized access to, or disclosure or other misuse or loss of, Company Data or Company IT Systems (each, a “</w:t>
      </w:r>
      <w:r>
        <w:rPr>
          <w:rFonts w:ascii="Times New Roman;Times;Serif" w:hAnsi="Times New Roman;Times;Serif"/>
          <w:b/>
          <w:i w:val="false"/>
          <w:caps w:val="false"/>
          <w:smallCaps w:val="false"/>
          <w:sz w:val="20"/>
        </w:rPr>
        <w:t>Data Security Incident</w:t>
      </w:r>
      <w:r>
        <w:rPr>
          <w:rFonts w:ascii="Times New Roman;Times;Serif" w:hAnsi="Times New Roman;Times;Serif"/>
          <w:b w:val="false"/>
          <w:i w:val="false"/>
          <w:caps w:val="false"/>
          <w:smallCaps w:val="false"/>
          <w:sz w:val="20"/>
        </w:rPr>
        <w:t>”), nor has the Company been required to notify any individual, business, Governmental Authority or other third party of such Data Security Incident. The Company has, since January 1, 2023, complied in all material respects with applicable Data Protection Laws. No Legal Proceeding is pending or threatened against the Company alleging any material failure to comply with any Data Protection Laws. The consummation of the Merger by the Company is not, in itself, expected to result in any material violation by the Company of any applicable Data Protection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is in material compliance with (i) all of the Company’s privacy and security policies and privacy policies, and such policies are consistent with the actual practices of the Company, (ii) all applicable Data Protection Laws, and (iii) its contractual commitments and obligations regarding Company Data. The Company has entered into data processing agreements where required under applicable Data Protection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val="false"/>
          <w:i/>
          <w:caps w:val="false"/>
          <w:smallCaps w:val="false"/>
          <w:sz w:val="20"/>
        </w:rPr>
        <w:t>Broker’s Fees</w:t>
      </w:r>
      <w:r>
        <w:rPr>
          <w:rFonts w:ascii="Times New Roman;Times;Serif" w:hAnsi="Times New Roman;Times;Serif"/>
          <w:b w:val="false"/>
          <w:i w:val="false"/>
          <w:caps w:val="false"/>
          <w:smallCaps w:val="false"/>
          <w:sz w:val="20"/>
        </w:rPr>
        <w:t>. Neither the Company nor any of its officers or directors on behalf of the Company has employed or engaged any financial advisor, broker or finder or incurred any liability for any financial advisory, broker’s fees, commissions or finder’s fees in connection with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w:t>
      </w:r>
      <w:r>
        <w:rPr>
          <w:rFonts w:ascii="Times New Roman;Times;Serif" w:hAnsi="Times New Roman;Times;Serif"/>
          <w:b w:val="false"/>
          <w:i/>
          <w:caps w:val="false"/>
          <w:smallCaps w:val="false"/>
          <w:sz w:val="20"/>
        </w:rPr>
        <w:t>Opinion of Financial Advisor</w:t>
      </w:r>
      <w:r>
        <w:rPr>
          <w:rFonts w:ascii="Times New Roman;Times;Serif" w:hAnsi="Times New Roman;Times;Serif"/>
          <w:b w:val="false"/>
          <w:i w:val="false"/>
          <w:caps w:val="false"/>
          <w:smallCaps w:val="false"/>
          <w:sz w:val="20"/>
        </w:rPr>
        <w:t>. The Company Board has received the opinion of the Company Financial Advisor, to the effect that, as of the date of this Agreement, and subject to the assumptions, qualification, matters and limitations set forth therein, the Merger Consideration to be received by the holders of Company Common Stock pursuant to this Agreement is fair, from a financial point of view, to the holders of Company Common Stock and such opinion has not been withdrawn or modified. Copies of such opinion will promptly be provided to Parent, solely for informational purposes, following receipt thereof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3.20.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All current and material insurance policies and insurance Contracts maintained by, on behalf of or for the benefit of the Company (collectively, with all such insurance policies and insurance Contracts maintained in the past three years, the “</w:t>
      </w:r>
      <w:r>
        <w:rPr>
          <w:rFonts w:ascii="Times New Roman;Times;Serif" w:hAnsi="Times New Roman;Times;Serif"/>
          <w:b/>
          <w:i w:val="false"/>
          <w:caps w:val="false"/>
          <w:smallCaps w:val="false"/>
          <w:sz w:val="20"/>
        </w:rPr>
        <w:t>Insurance Policies</w:t>
      </w:r>
      <w:r>
        <w:rPr>
          <w:rFonts w:ascii="Times New Roman;Times;Serif" w:hAnsi="Times New Roman;Times;Serif"/>
          <w:b w:val="false"/>
          <w:i w:val="false"/>
          <w:caps w:val="false"/>
          <w:smallCaps w:val="false"/>
          <w:sz w:val="20"/>
        </w:rPr>
        <w:t>”) are in full force and effect and are valid and enforceable and all premiums due thereunder have been paid. To the Knowledge of the Company, the Company has not received notice of cancellation or termination with respect to any Insurance Policy or any notice of a material increase in premium. True, correct, and complete copies of the Insurance Policies, as of the date of this Agreement, have been made available to Parent. The Company is not in default under any Insurance Policy. To the Knowledge of the Company, the Company has not failed to give notice or present any claim under any Insurance Policy in a due and timely fashion. To the Knowledge of the Company, there are no outstanding material claims under any Insurance Policy. For the past three years, the Company has not (i) had an insurance claim rejected or payment with respect thereto denied or disputed by its insurance provider, (ii) had an insurance claim in which there is an outstanding reservation of rights or (iii) had the policy limit under any insurance policy exhausted or materially reduced. The Company has not had and does not participate in any self-insurance, captive insurance, or co-insurance programs. No Insurance Policy contains any collateralization or other securitization requirements nor does any Insurance Policy contain any retrospective rating or similar premium adjustment mechanism. No Insurance Policy is the subject of any premium financing agreement or similar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val="false"/>
          <w:i/>
          <w:caps w:val="false"/>
          <w:smallCaps w:val="false"/>
          <w:sz w:val="20"/>
        </w:rPr>
        <w:t>Related Person Transactions</w:t>
      </w:r>
      <w:r>
        <w:rPr>
          <w:rFonts w:ascii="Times New Roman;Times;Serif" w:hAnsi="Times New Roman;Times;Serif"/>
          <w:b w:val="false"/>
          <w:i w:val="false"/>
          <w:caps w:val="false"/>
          <w:smallCaps w:val="false"/>
          <w:sz w:val="20"/>
        </w:rPr>
        <w:t>. Except as set forth in the Company SEC Reports filed with the SEC prior to the date hereof and this Agreement, there are no transactions, agreements, arrangements or understandings between the Company, on the one hand, and (a) any Affiliate (including any officer or director) thereof or (b) any beneficial owner, directly or indirectly, of five percent (5%) or more of the shares of Company Common Stock, on the other hand, in each case, in excess of $120,000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 </w:t>
      </w:r>
      <w:r>
        <w:rPr>
          <w:rFonts w:ascii="Times New Roman;Times;Serif" w:hAnsi="Times New Roman;Times;Serif"/>
          <w:b w:val="false"/>
          <w:i/>
          <w:caps w:val="false"/>
          <w:smallCaps w:val="false"/>
          <w:sz w:val="20"/>
        </w:rPr>
        <w:t>Customers.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3.22(a)</w:t>
      </w:r>
      <w:r>
        <w:rPr>
          <w:rFonts w:ascii="Times New Roman;Times;Serif" w:hAnsi="Times New Roman;Times;Serif"/>
          <w:b w:val="false"/>
          <w:i w:val="false"/>
          <w:caps w:val="false"/>
          <w:smallCaps w:val="false"/>
          <w:sz w:val="20"/>
        </w:rPr>
        <w:t xml:space="preserve"> of the Company Disclosure Schedule sets forth, as of the date of this Agreement, the top ten customers of the Company based on the aggregate dollar value of the Company’s transaction volume with such counterparty during the trailing 12 months for the period ending December 31, 2025 (the “</w:t>
      </w:r>
      <w:r>
        <w:rPr>
          <w:rFonts w:ascii="Times New Roman;Times;Serif" w:hAnsi="Times New Roman;Times;Serif"/>
          <w:b/>
          <w:i w:val="false"/>
          <w:caps w:val="false"/>
          <w:smallCaps w:val="false"/>
          <w:sz w:val="20"/>
        </w:rPr>
        <w:t>Top Customers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Top Customers has, as of the date of this Agreement, informed in writing any of the Company that it will, or, to the Knowledge of the Company, has threatened to, terminate, cancel, or materially limit or materially and adversely modify any of its existing business with the Company, and to the Knowledge of the Company, none of the Top Customers is, as of the date of this Agreement, otherwise involved in or threatening a material dispute against the Company or their respective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3.23. </w:t>
      </w:r>
      <w:r>
        <w:rPr>
          <w:rFonts w:ascii="Times New Roman;Times;Serif" w:hAnsi="Times New Roman;Times;Serif"/>
          <w:b w:val="false"/>
          <w:i/>
          <w:caps w:val="false"/>
          <w:smallCaps w:val="false"/>
          <w:sz w:val="20"/>
        </w:rPr>
        <w:t>Suppliers.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3.23(a)</w:t>
      </w:r>
      <w:r>
        <w:rPr>
          <w:rFonts w:ascii="Times New Roman;Times;Serif" w:hAnsi="Times New Roman;Times;Serif"/>
          <w:b w:val="false"/>
          <w:i w:val="false"/>
          <w:caps w:val="false"/>
          <w:smallCaps w:val="false"/>
          <w:sz w:val="20"/>
        </w:rPr>
        <w:t xml:space="preserve"> of the Company Disclosure Schedule sets forth, as of the date of this Agreement, the top ten suppliers based on the aggregate dollar value of the Company’s transaction volume with such counterparty during the trailing 12 months for the period ending December 31, 2025 (the “</w:t>
      </w:r>
      <w:r>
        <w:rPr>
          <w:rFonts w:ascii="Times New Roman;Times;Serif" w:hAnsi="Times New Roman;Times;Serif"/>
          <w:b/>
          <w:i w:val="false"/>
          <w:caps w:val="false"/>
          <w:smallCaps w:val="false"/>
          <w:sz w:val="20"/>
        </w:rPr>
        <w:t>Top Suppliers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Top Suppliers has, as of the date of this Agreement, informed in writing any of the Company that it will, or, to the Knowledge of the Company, has threatened to, terminate, cancel, or materially limit or materially and adversely modify any of its existing business with the Company, and to the Knowledge of the Company, none of the Top Suppliers is, as of the date of this Agreement, otherwise involved in or threatening a material dispute against the Company or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 </w:t>
      </w:r>
      <w:r>
        <w:rPr>
          <w:rFonts w:ascii="Times New Roman;Times;Serif" w:hAnsi="Times New Roman;Times;Serif"/>
          <w:b w:val="false"/>
          <w:i/>
          <w:caps w:val="false"/>
          <w:smallCaps w:val="false"/>
          <w:sz w:val="20"/>
        </w:rPr>
        <w:t>Exclusivity of Representations and Warranties.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No Other Representations and Warranties</w:t>
      </w:r>
      <w:r>
        <w:rPr>
          <w:rFonts w:ascii="Times New Roman;Times;Serif" w:hAnsi="Times New Roman;Times;Serif"/>
          <w:b w:val="false"/>
          <w:i w:val="false"/>
          <w:caps w:val="false"/>
          <w:smallCaps w:val="false"/>
          <w:sz w:val="20"/>
        </w:rPr>
        <w:t xml:space="preserve">. The Company, on behalf of itself Representatives and Affiliates, acknowledges and agrees that, except for the representations and warranties expressly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closing certificate delivered pursuant to </w:t>
      </w:r>
      <w:r>
        <w:rPr>
          <w:rFonts w:ascii="Times New Roman;Times;Serif" w:hAnsi="Times New Roman;Times;Serif"/>
          <w:b w:val="false"/>
          <w:i w:val="false"/>
          <w:caps w:val="false"/>
          <w:smallCaps w:val="false"/>
          <w:sz w:val="20"/>
          <w:u w:val="single"/>
        </w:rPr>
        <w:t>Section 7.3(e)</w:t>
      </w:r>
      <w:r>
        <w:rPr>
          <w:rFonts w:ascii="Times New Roman;Times;Serif" w:hAnsi="Times New Roman;Times;Serif"/>
          <w:b w:val="false"/>
          <w:i w:val="false"/>
          <w:caps w:val="false"/>
          <w:smallCaps w:val="false"/>
          <w:sz w:val="20"/>
        </w:rPr>
        <w:t>), neither any Buyer Party nor any of their respective Subsidiaries (or any of their respective Representatives, Affiliates, or other Person) makes, or has made, any representation or warranty relating to the Buyer Parties, their respective Subsidiaries or any of their financial conditions, businesses, results of operations, properties, assets, liabilities, prospects or otherwise in connection with this Agreement or the Merger or the negotiation with respect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No Reliance</w:t>
      </w:r>
      <w:r>
        <w:rPr>
          <w:rFonts w:ascii="Times New Roman;Times;Serif" w:hAnsi="Times New Roman;Times;Serif"/>
          <w:b w:val="false"/>
          <w:i w:val="false"/>
          <w:caps w:val="false"/>
          <w:smallCaps w:val="false"/>
          <w:sz w:val="20"/>
        </w:rPr>
        <w:t xml:space="preserve">. The Company, on behalf of itself and its Affiliates and Representatives, acknowledges and agrees that, except for the representations and warranties expressly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closing certificate delivered pursuant to </w:t>
      </w:r>
      <w:r>
        <w:rPr>
          <w:rFonts w:ascii="Times New Roman;Times;Serif" w:hAnsi="Times New Roman;Times;Serif"/>
          <w:b w:val="false"/>
          <w:i w:val="false"/>
          <w:caps w:val="false"/>
          <w:smallCaps w:val="false"/>
          <w:sz w:val="20"/>
          <w:u w:val="single"/>
        </w:rPr>
        <w:t>Section 7.3(e)</w:t>
      </w:r>
      <w:r>
        <w:rPr>
          <w:rFonts w:ascii="Times New Roman;Times;Serif" w:hAnsi="Times New Roman;Times;Serif"/>
          <w:b w:val="false"/>
          <w:i w:val="false"/>
          <w:caps w:val="false"/>
          <w:smallCaps w:val="false"/>
          <w:sz w:val="20"/>
        </w:rPr>
        <w:t>, it is not, and they are not, acting (including, as applicable, by entering into this Agreement or consummating the Merger) in reliance on: any representation or warranty, express or implied, or other statement; or any estimate, projection, prediction, data, financial information, memorandum, presentation or other materials or information provided or addressed to the Company or any of its Affiliates or any Representative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THE BUYER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Parties jointly and severally hereby represent and warrant to the Company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caps w:val="false"/>
          <w:smallCaps w:val="false"/>
          <w:sz w:val="20"/>
        </w:rPr>
        <w:t>Organization; Good Standing.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Parent</w:t>
      </w:r>
      <w:r>
        <w:rPr>
          <w:rFonts w:ascii="Times New Roman;Times;Serif" w:hAnsi="Times New Roman;Times;Serif"/>
          <w:b w:val="false"/>
          <w:i w:val="false"/>
          <w:caps w:val="false"/>
          <w:smallCaps w:val="false"/>
          <w:sz w:val="20"/>
        </w:rPr>
        <w:t>. Parent is a limited liability company duly organized, validly existing and in good standing under the Laws of the State of Nevada and has the requisite limited liability company power and authority to conduct its business as it is presently being conducted and to own, lease or operate its properties and assets. Parent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Parent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Merger Sub</w:t>
      </w:r>
      <w:r>
        <w:rPr>
          <w:rFonts w:ascii="Times New Roman;Times;Serif" w:hAnsi="Times New Roman;Times;Serif"/>
          <w:b w:val="false"/>
          <w:i w:val="false"/>
          <w:caps w:val="false"/>
          <w:smallCaps w:val="false"/>
          <w:sz w:val="20"/>
        </w:rPr>
        <w:t>. Merger Sub is a corporation duly organized, validly existing and in good standing under the Laws of the State of Nevada and has the requisite corporate power and authority to conduct its business as it is presently being conducted and to own, lease or operate its properties and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caps w:val="false"/>
          <w:smallCaps w:val="false"/>
          <w:sz w:val="20"/>
        </w:rPr>
        <w:t>Authority; Execution and Delivery; Enforceability</w:t>
      </w:r>
      <w:r>
        <w:rPr>
          <w:rFonts w:ascii="Times New Roman;Times;Serif" w:hAnsi="Times New Roman;Times;Serif"/>
          <w:b w:val="false"/>
          <w:i w:val="false"/>
          <w:caps w:val="false"/>
          <w:smallCaps w:val="false"/>
          <w:sz w:val="20"/>
        </w:rPr>
        <w:t>. Parent has all requisite limited liability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and authority, and Merger Sub have all requisite corporate power and authority, in each case to execute and deliver and perform its obligations under this Agreement and to consummate the Merger Transactions. The execution, delivery and performance by Parent and Merger Sub of this Agreement and the consummation by Parent and Merger Sub of the transactions have been duly authorized by all necessary limited liability company action on the part of Parent and all necessary corporate action on the part of Merger Sub, and their respective boards of directors or other governing bodies, and other limited liability company proceedings on the part of Parent or corporate proceedings on the part of Merger Sub are necessary to authorize the execution, delivery and performance of this Agreement or to consummate the transactions (subject, in case of the Merger, to the filing and effectiveness of appropriate merger documents as required by the NRS and Parent’s consent as the sole stockholder of Merger Sub). This Agreement constitutes the legal, valid and binding obligation of Parent and Merger Sub, and assuming due authorization, execution and delivery by the Company, is enforceable against them in accordance with its terms, subject to the Enforceability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Neither the execution and delivery of this Agreement by each Buyer Party, nor the consummation of the Merger will (a) result in a violation or breach of or conflict with the articles of incorporation, articles of formation, bylaws, operating agreement or other similar organizational documents of the Buyer Parties; (b)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Contract to which any Buyer Party is a party or by which the Buyer Parties or any of their properties or assets may be bound; or (c) except in connection with the Parent Acquisition Financing, result in the creation of any lien (other than Permitted Liens) upon any of the properties or assets of the Buyer Parties, except in the case of each of clause (b) and (c) for such violations, conflicts, breaches, defaults, terminations, accelerations or liens that have not had, and would not reasonably be expected to have, individually or in the aggregate, a Parent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caps w:val="false"/>
          <w:smallCaps w:val="false"/>
          <w:sz w:val="20"/>
        </w:rPr>
        <w:t>Requisite Governmental Approvals</w:t>
      </w:r>
      <w:r>
        <w:rPr>
          <w:rFonts w:ascii="Times New Roman;Times;Serif" w:hAnsi="Times New Roman;Times;Serif"/>
          <w:b w:val="false"/>
          <w:i w:val="false"/>
          <w:caps w:val="false"/>
          <w:smallCaps w:val="false"/>
          <w:sz w:val="20"/>
        </w:rPr>
        <w:t>. No Consent of any Governmental Authority is required on the part of the Buyer Parties or any of their Affiliates: (a) in connection with the execution and delivery of this Agreement by each Buyer Party; (b) the performance by each Buyer Party of their respective covenants and obligations pursuant to this Agreement; or (c) the consummation of the Merger, except (i) the filing of the Articles of Merger (“</w:t>
      </w:r>
      <w:r>
        <w:rPr>
          <w:rFonts w:ascii="Times New Roman;Times;Serif" w:hAnsi="Times New Roman;Times;Serif"/>
          <w:b/>
          <w:i w:val="false"/>
          <w:caps w:val="false"/>
          <w:smallCaps w:val="false"/>
          <w:sz w:val="20"/>
        </w:rPr>
        <w:t>Articles of Merger</w:t>
      </w:r>
      <w:r>
        <w:rPr>
          <w:rFonts w:ascii="Times New Roman;Times;Serif" w:hAnsi="Times New Roman;Times;Serif"/>
          <w:b w:val="false"/>
          <w:i w:val="false"/>
          <w:caps w:val="false"/>
          <w:smallCaps w:val="false"/>
          <w:sz w:val="20"/>
        </w:rPr>
        <w:t>”) with the Secretary of State of the State of Nevada and such filings with Governmental Authorities to satisfy the applicable Laws of states in which the Company Group is qualified to do business; (ii) such filings and approvals as may be required by any federal or state securities Laws, including compliance with any applicable requirements of the Exchange Act and the OTC Markets Group Inc.; and (iii) such other Consents the failure of which to obtain have not have, and would not reasonably be expected to have, individually or in the aggregate, a Parent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caps w:val="false"/>
          <w:smallCaps w:val="false"/>
          <w:sz w:val="20"/>
        </w:rPr>
        <w:t>Legal Proceedings; Orders.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No Legal Proceedings</w:t>
      </w:r>
      <w:r>
        <w:rPr>
          <w:rFonts w:ascii="Times New Roman;Times;Serif" w:hAnsi="Times New Roman;Times;Serif"/>
          <w:b w:val="false"/>
          <w:i w:val="false"/>
          <w:caps w:val="false"/>
          <w:smallCaps w:val="false"/>
          <w:sz w:val="20"/>
        </w:rPr>
        <w:t>. There are no Legal Proceedings pending or, to the knowledge of Parent or any of its Affiliates, threatened against Parent or Merger Sub that have had, or would reasonably be expected to have, individually or in the aggregate, a Parent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No Orders</w:t>
      </w:r>
      <w:r>
        <w:rPr>
          <w:rFonts w:ascii="Times New Roman;Times;Serif" w:hAnsi="Times New Roman;Times;Serif"/>
          <w:b w:val="false"/>
          <w:i w:val="false"/>
          <w:caps w:val="false"/>
          <w:smallCaps w:val="false"/>
          <w:sz w:val="20"/>
        </w:rPr>
        <w:t>. Neither Parent nor Merger Sub is subject to any Order of any kind or nature that has had, or would reasonably be expected to have, individually or in the aggregate, a Parent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caps w:val="false"/>
          <w:smallCaps w:val="false"/>
          <w:sz w:val="20"/>
        </w:rPr>
        <w:t>Brokers</w:t>
      </w:r>
      <w:r>
        <w:rPr>
          <w:rFonts w:ascii="Times New Roman;Times;Serif" w:hAnsi="Times New Roman;Times;Serif"/>
          <w:b w:val="false"/>
          <w:i w:val="false"/>
          <w:caps w:val="false"/>
          <w:smallCaps w:val="false"/>
          <w:sz w:val="20"/>
        </w:rPr>
        <w:t>. There is no financial advisor, investment banker, broker, finder, agent or other Person that has been retained by or is authorized to act on behalf of the Buyer Parties or any of their Affiliates who is entitled to any financial advisor’s, investment banking, brokerage, finder’s or other similar fee or commission in connection with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caps w:val="false"/>
          <w:smallCaps w:val="false"/>
          <w:sz w:val="20"/>
        </w:rPr>
        <w:t>Operations of Merger Sub</w:t>
      </w:r>
      <w:r>
        <w:rPr>
          <w:rFonts w:ascii="Times New Roman;Times;Serif" w:hAnsi="Times New Roman;Times;Serif"/>
          <w:b w:val="false"/>
          <w:i w:val="false"/>
          <w:caps w:val="false"/>
          <w:smallCaps w:val="false"/>
          <w:sz w:val="20"/>
        </w:rPr>
        <w:t>. Merger Sub has been formed solely for the purpose of engaging in the Merger, and, prior to the Effective Time, Merger Sub will not have engaged in any other business activities and will have incurred no liabilities or obligations other than as contemplated by this Agreement and the transactions contemplated hereby, including the Parent Acquisition Financing. Parent owns beneficially and of record all of the outstanding capital stock, and other equity and voting interest in, Merger Sub free and clear of all liens, other than liens pursuant to the Parent Acquisition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caps w:val="false"/>
          <w:smallCaps w:val="false"/>
          <w:sz w:val="20"/>
        </w:rPr>
        <w:t>Proxy Statement; Schedule 13e-3</w:t>
      </w:r>
      <w:r>
        <w:rPr>
          <w:rFonts w:ascii="Times New Roman;Times;Serif" w:hAnsi="Times New Roman;Times;Serif"/>
          <w:b w:val="false"/>
          <w:i w:val="false"/>
          <w:caps w:val="false"/>
          <w:smallCaps w:val="false"/>
          <w:sz w:val="20"/>
        </w:rPr>
        <w:t>. None of the information to be supplied by the Buyer Parties for inclusion in the Proxy Statement or the Schedule 13E-3 will (i) in the case of the Schedule 13E-3 (or any amendment thereof or supplement thereto), as of the date of filing and as of the date of the Stockholder Meeting and (ii) in the case of the Proxy Statement (or any amendment thereof or supplement thereto), as of the date of filing or mailing to the Company’s stockholders and as of the date of the Stockholder Meeting, contain any untrue statement of a material fact or omit to state any material fact required to be stated therein or necessary in order to make the statements therein with respect to information provided by Buyer Parties, in light of the circumstances under which they are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caps w:val="false"/>
          <w:smallCaps w:val="false"/>
          <w:sz w:val="20"/>
        </w:rPr>
        <w:t>Sufficient Funds</w:t>
      </w:r>
      <w:r>
        <w:rPr>
          <w:rFonts w:ascii="Times New Roman;Times;Serif" w:hAnsi="Times New Roman;Times;Serif"/>
          <w:b w:val="false"/>
          <w:i w:val="false"/>
          <w:caps w:val="false"/>
          <w:smallCaps w:val="false"/>
          <w:sz w:val="20"/>
        </w:rPr>
        <w:t>. Assuming the receipt of proceeds from the Parent Acquisition Financing, Parent will have sufficient cash, marketable securities and other sources of immediately available funds to necessary to consummate the Merger Transactions and to pay any and all fees and expenses required to be paid at Closing by Parent and Merger Sub. in connection with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caps w:val="false"/>
          <w:smallCaps w:val="false"/>
          <w:sz w:val="20"/>
        </w:rPr>
        <w:t>Stockholder and Management Arrangements</w:t>
      </w:r>
      <w:r>
        <w:rPr>
          <w:rFonts w:ascii="Times New Roman;Times;Serif" w:hAnsi="Times New Roman;Times;Serif"/>
          <w:b w:val="false"/>
          <w:i w:val="false"/>
          <w:caps w:val="false"/>
          <w:smallCaps w:val="false"/>
          <w:sz w:val="20"/>
        </w:rPr>
        <w:t>. As of the date of this Agreement, other than this Agreement and the Parent Documents, no Buyer Party nor any of their respective Affiliates is a party to any Contract, or has authorized, made or entered into, or committed or agreed to enter into, any formal or informal arrangements or other understandings (whether or not binding) with any stockholder, director, officer, employee or other Affiliate of the Company Group (a) relating to (i) this Agreement or the Merger; or (ii) the Surviving Corporation, businesses or operations (including as to continuing employment) from and after the Closing; or (b) pursuant to which any (i) such holder of Company Common Stock would be entitled to receive consideration of a different amount or nature than the Per Share Price in respect of such holder’s Company Common Stock; (ii) such holder of Company Common Stock has agreed to approve this Agreement or vote against any Superior Proposal; or (iii) such stockholder, director, officer, employee or other Affiliate of the Company Group has agreed to provide, directly or indirectly, equity investment to the Buyer Parties to finance any portion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caps w:val="false"/>
          <w:smallCaps w:val="false"/>
          <w:sz w:val="20"/>
        </w:rPr>
        <w:t>Solvency</w:t>
      </w:r>
      <w:r>
        <w:rPr>
          <w:rFonts w:ascii="Times New Roman;Times;Serif" w:hAnsi="Times New Roman;Times;Serif"/>
          <w:b w:val="false"/>
          <w:i w:val="false"/>
          <w:caps w:val="false"/>
          <w:smallCaps w:val="false"/>
          <w:sz w:val="20"/>
        </w:rPr>
        <w:t>. Parent will be Solvent as of immediately after the consummation of the transactions contemplated hereby. For purposes of this Agreement, the term “Solvent” when used with respect to any Person, shall mean that, as of any date of determination: (a) the amount of the “fair value” of the assets of such Person and its Subsidiaries, on a consolidated basis, will, as of such date, exceed the sum of the debt (including contingent and other liabilities) of such Person and its Subsidiaries, on a consolidated basis, (b) such Person and its Subsidiaries, on a consolidated basis, are able to pay their respective debts (including all contingent liabilities and all other fees and expenses incurred in connection with the transactions contemplated by this Agreement), (c) such Person and its Subsidiaries, on a consolidated basis, (i) have adequate capital to carry on their respective businesses and (ii) have capital which is not unreasonably small in relation to the businesses of such Person and its Subsidiaries, on a consolidated basis, and (d) such Person and its Subsidiaries, on a consolidated basis, do not intend to incur, or believe that they will incur, debts (including current obligations and contingent liabilities) beyond their ability to pay such debts as they mature in the ordinary course of business. No transfer of property is being made and no obligation is being incurred in connection with the transactions contemplated by this Agreement with the intent to hinder, delay or defraud either present or future creditors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caps w:val="false"/>
          <w:smallCaps w:val="false"/>
          <w:sz w:val="20"/>
        </w:rPr>
        <w:t>Buyer Parties’ Investigation</w:t>
      </w:r>
      <w:r>
        <w:rPr>
          <w:rFonts w:ascii="Times New Roman;Times;Serif" w:hAnsi="Times New Roman;Times;Serif"/>
          <w:b w:val="false"/>
          <w:i w:val="false"/>
          <w:caps w:val="false"/>
          <w:smallCaps w:val="false"/>
          <w:sz w:val="20"/>
        </w:rPr>
        <w:t>. Buyer Parties are sophisticated purchasers and has made their own independent investigation, review and analysis regarding the Company and the transactions contemplated hereby, which investigation, review and analysis were conducted by Buyer Parties together with expert advisors that they have engaged for such purpose. Buyer Parties and their Representatives have been provided with access to the Representatives, properties, offices, plants and other facilities, books and records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caps w:val="false"/>
          <w:smallCaps w:val="false"/>
          <w:sz w:val="20"/>
        </w:rPr>
        <w:t>Exclusivity of Representations and Warranties.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No Other Representations and Warranties</w:t>
      </w:r>
      <w:r>
        <w:rPr>
          <w:rFonts w:ascii="Times New Roman;Times;Serif" w:hAnsi="Times New Roman;Times;Serif"/>
          <w:b w:val="false"/>
          <w:i w:val="false"/>
          <w:caps w:val="false"/>
          <w:smallCaps w:val="false"/>
          <w:sz w:val="20"/>
        </w:rPr>
        <w:t xml:space="preserve">. Each Buyer Party, on behalf of itself and its respective Subsidiaries (and any of their Representatives and Affiliates), acknowledges and agrees that, except for the representations and warranties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(as qualified by the Company Disclosure Schedule and the Company SEC Reports) or in any closing certificate delivered pursuant to </w:t>
      </w:r>
      <w:r>
        <w:rPr>
          <w:rFonts w:ascii="Times New Roman;Times;Serif" w:hAnsi="Times New Roman;Times;Serif"/>
          <w:b w:val="false"/>
          <w:i w:val="false"/>
          <w:caps w:val="false"/>
          <w:smallCaps w:val="false"/>
          <w:sz w:val="20"/>
          <w:u w:val="single"/>
        </w:rPr>
        <w:t>Section 7.2(c)</w:t>
      </w:r>
      <w:r>
        <w:rPr>
          <w:rFonts w:ascii="Times New Roman;Times;Serif" w:hAnsi="Times New Roman;Times;Serif"/>
          <w:b w:val="false"/>
          <w:i w:val="false"/>
          <w:caps w:val="false"/>
          <w:smallCaps w:val="false"/>
          <w:sz w:val="20"/>
        </w:rPr>
        <w:t>, the Company (or any of their Representatives, Affiliates, or other Person) does not make, or has made, any representation or warranty relating to the Company or any of its financial conditions, businesses, results of operations, properties, assets, liabilities, prospects or otherwise in connection with this Agreement or the Merger or the negotiation with respect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No Reliance</w:t>
      </w:r>
      <w:r>
        <w:rPr>
          <w:rFonts w:ascii="Times New Roman;Times;Serif" w:hAnsi="Times New Roman;Times;Serif"/>
          <w:b w:val="false"/>
          <w:i w:val="false"/>
          <w:caps w:val="false"/>
          <w:smallCaps w:val="false"/>
          <w:sz w:val="20"/>
        </w:rPr>
        <w:t xml:space="preserve">. Each Buyer Party, on behalf of itself and its Affiliates and Representatives, acknowledges and agrees that, except for the representations and warranties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(as qualified by the Company Disclosure Schedule and the Company SEC Reports) or in any closing certificate delivered pursuant to </w:t>
      </w:r>
      <w:r>
        <w:rPr>
          <w:rFonts w:ascii="Times New Roman;Times;Serif" w:hAnsi="Times New Roman;Times;Serif"/>
          <w:b w:val="false"/>
          <w:i w:val="false"/>
          <w:caps w:val="false"/>
          <w:smallCaps w:val="false"/>
          <w:sz w:val="20"/>
          <w:u w:val="single"/>
        </w:rPr>
        <w:t>Section 7.2(c)</w:t>
      </w:r>
      <w:r>
        <w:rPr>
          <w:rFonts w:ascii="Times New Roman;Times;Serif" w:hAnsi="Times New Roman;Times;Serif"/>
          <w:b w:val="false"/>
          <w:i w:val="false"/>
          <w:caps w:val="false"/>
          <w:smallCaps w:val="false"/>
          <w:sz w:val="20"/>
        </w:rPr>
        <w:t>, it is not, and they are not, acting (including, as applicable, by entering into this Agreement or consummating the Merger) in reliance on: any representation or warranty, express or implied, or other statement; or any estimate, projection, prediction, data, financial information, memorandum, presentation or other materials or information, other than any such information contained in the Company Financial Statements, provided or addressed to the Buyer Parties or any of their respective Affiliates or any Representative of the foregoing, including any materials or information made available in the electronic data room hosted by or on behalf of the Company in connection with this Agreement, the Merger or the other transactions contemplated hereby or in connection with presentations by the management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OPERATIONS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caps w:val="false"/>
          <w:smallCaps w:val="false"/>
          <w:sz w:val="20"/>
        </w:rPr>
        <w:t>Affirmative Obligations</w:t>
      </w:r>
      <w:r>
        <w:rPr>
          <w:rFonts w:ascii="Times New Roman;Times;Serif" w:hAnsi="Times New Roman;Times;Serif"/>
          <w:b w:val="false"/>
          <w:i w:val="false"/>
          <w:caps w:val="false"/>
          <w:smallCaps w:val="false"/>
          <w:sz w:val="20"/>
        </w:rPr>
        <w:t xml:space="preserve">. Except as expressly contemplated or required by this Agreement, as set forth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of the Company Disclosure Schedule, as required by applicable Law or as approved in writing by Parent (which approval will not be unreasonably withheld, conditioned or delayed and may be granted by an e-mail or other electronic communication from the individuals listed on </w:t>
      </w:r>
      <w:r>
        <w:rPr>
          <w:rFonts w:ascii="Times New Roman;Times;Serif" w:hAnsi="Times New Roman;Times;Serif"/>
          <w:b w:val="false"/>
          <w:i w:val="false"/>
          <w:caps w:val="false"/>
          <w:smallCaps w:val="false"/>
          <w:sz w:val="20"/>
          <w:u w:val="single"/>
        </w:rPr>
        <w:t>Schedule 5.1</w:t>
      </w:r>
      <w:r>
        <w:rPr>
          <w:rFonts w:ascii="Times New Roman;Times;Serif" w:hAnsi="Times New Roman;Times;Serif"/>
          <w:b w:val="false"/>
          <w:i w:val="false"/>
          <w:caps w:val="false"/>
          <w:smallCaps w:val="false"/>
          <w:sz w:val="20"/>
        </w:rPr>
        <w:t xml:space="preserve">), at all times during the period commencing with the execution and delivery of this Agreement and continuing until the earlier to occur of the termination of this Agreement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the Effective Time (the “</w:t>
      </w:r>
      <w:r>
        <w:rPr>
          <w:rFonts w:ascii="Times New Roman;Times;Serif" w:hAnsi="Times New Roman;Times;Serif"/>
          <w:b/>
          <w:i w:val="false"/>
          <w:caps w:val="false"/>
          <w:smallCaps w:val="false"/>
          <w:sz w:val="20"/>
        </w:rPr>
        <w:t>Interim Period</w:t>
      </w:r>
      <w:r>
        <w:rPr>
          <w:rFonts w:ascii="Times New Roman;Times;Serif" w:hAnsi="Times New Roman;Times;Serif"/>
          <w:b w:val="false"/>
          <w:i w:val="false"/>
          <w:caps w:val="false"/>
          <w:smallCaps w:val="false"/>
          <w:sz w:val="20"/>
        </w:rPr>
        <w:t>”), (a) the Company will use its respective commercially reasonable efforts to (i) conduct its business in all material respects in the ordinary course of business, (ii) preserve intact its material assets, properties, and Contracts and (iii) preserve intact in all material respects its significant commercial relationships with third parties, and, (b) without limitation of the foregoing, the Company will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amend the Existing Charter or Existing Bylaws or any other organizational documents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propose or adopt a plan of complete or partial liquidation, dissolution, merger, consolidation, restructuring, recapitalization or other reorganization;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acquire or agree to acquire (by merger, consolidation or otherwise), or purchase an equity interest in or agree to purchase an equity interest in, or purchase or agree to purchase any asset of, or acquire an exclusive license of, any business, corporation, partnership, association or other business organization or division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split, combine or reclassify any outstanding shares of Company Capital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repurchase, redeem or otherwise reacquire any shares of Company Capital Stock, other equity securities of the Company, other ownership interests of any options, warrants or rights to acquire any such stock, securities or interests of the Company, other than in connection with (i) repurchases or reacquisitions of shares of Company Common Stock at the lower of the original exercise price or the current fair market value of a share of Company Common Stock pursuant to the Company’s right to repurchase or reacquire shares of Company Common Stock held by employees or other Service Providers of the Company Group in connection with termination of such Person’s employment or engagement by the Company, or (ii) net share withholding of taxes from employees of the Company Group in payment of withholding tax upon the settlement of Company Awards, in each case of clauses (i) and (ii), pursuant to the terms of such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issue, sell, dispose of or authorize, propose or agree to the issuance, sale or disposition by the Company of, any shares of, or any options, warrants or rights of any kind to acquire any shares of, or any securities convertible into or exchangeable for any shares of, Company Capital Stock, or any other securities in respect of, in lieu of, or in substitution for any class of its capital stock outstanding on the date hereof, except (i) for the Company Common Stock issuable upon conversion or exercise of any convertible securities outstanding as of the date hereof or granted without material breach of the terms of this Agreement, or (ii) for the settlement of Company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(1) establish a record date for, declare, set aside or pay any dividend or other distribution payable in cash, capital stock, property or otherwise with respect to any shares of its capital stock or other equity or voting interests, or make any other actual, constructive or deemed distribution in respect of its capital stock or other equity or voting interests, (2) pledge or encumber any of its capital stock or other equity or voting interests, or (3) modify the terms of any of its capital stock or other equity or voting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(1) sell, lease, exclusively license, transfer or dispose of any material assets of the Company Group (except, in the case of any of the foregoing, pursuant to any Company Material Contract in effect on the date hereof) or (2) mortgage, pledge or otherwise encumber any assets or create any Liens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(1) accelerate, terminate or cancel any Company Material Contract, (2) grant a material waiver or release, or assign any material right, obligation or claim under, any Company Material Contract, (3) amend or modify any Company Material Contract in a manner that is adverse in any material respect to the Company Group, or (4) enter into any Contract which, if entered into prior to the date of this Agreement would have been a Company Material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incur any indebtedness, or guarantee, assume or otherwise become responsible for any such indebtedness of another Person, except for (i) loans or advances between members of the Company Group, and (ii) interest, fees, costs and similar amounts accrued pursuant to any financing arrangement in effect on or prior to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make any loans or advances, except (i) to or for the benefit of a member of the Company Group or (ii) for advances for reimbursable employee or contractor expenses in the ordinary course of business consistent with past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except to the extent required by the specific terms of a Company Benefit Plan: (i) grant or amend any severance or termination benefits with respect to any current or former Service Provider, (ii) grant any incentive, bonus, equity or equity-based, or other similar awards, or accelerate the funding, vesting or payment of any compensation or benefit or make any increase in the salaries, bonuses or other compensation or benefits to any current or former Service Provider, (iii) adopt, amend, establish or enter into any plan, policy or arrangement for the current or future benefit of any current or former Service Provider that would be a Company Benefit Plan if it were in existence on the date hereof, or (iv) hire or terminate (other than for cause) any Service Provider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execute, enter into, negotiate or amend any Labor Agreement or recognize any Union as the bargaining representative of any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other than as required by GAAP (as determined by the Company and opined on by an independent auditor), revalue in any material respect any of its properties or assets, or change its material Tax accounting methods, principles or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amend any income or other material Tax Return, (ii) make, change or revoke any material Tax election, (iii) settle or compromise any material Tax claim or assessment by any Governmental Authority, except to the extent that any such settlement or compromise does not exceed the amount of any Tax reserves that have been established in the Company SEC Reports, (iv) knowingly and voluntarily surrender any right to claim a material Tax refund, or (v) consent to any extension or waiver of the statute of limitations period applicable to any material Tax claim or assessment;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settle, compromise or otherwise resolve any Legal Proceedings other than the compromise or settlement of Legal Proceedings: that (i) (A) are for an amount for each such compromise or settlement that is, individually, less than $25,000 and for all such compromises or settlements that is, in the aggregate, less than $50,000, and (B) do not impose any injunctive relief on the Company (other than customary non-monetary restrictions that are ancillary to the monetary relief granted) and do not involve the admission of wrongdoing by the Company or any of their respective officers or directors, or (ii) are settled in compliance with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make or commit to make any capital expenditures other than pursuant to Contracts in effect on or prior to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fail to maintain in all material respects the Insurance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fail to take any action (including non-payment of fees) with respect to any Company Registered Intellectual Property owned or purported to be owned by the Company Group with the relevant Governmental Authorities and domain name registrars that is reasonably necessary to maintain such Company Registered Intellectual Property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assign, transfer, sell, or dispose of or grant exclusive licenses to any material Company Owned Intellectual Property, or (ii) terminate or transfer any license to the Company Group for any material third party Company Intellectual Property under a Company Material Contract, or under a contract entered into after the date hereof that would have been a Company Material Contract had it been entered into on or prior to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grant rights or licenses in any Company Owned Intellectual Property to any standards-setting organization (including any group or organization, such as special interest groups, forums, consortia, committees, working groups or associations) or to any third party in connection with the requirements of any standards-setting organization;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enter into, authorize any of, or agree or commit to enter into a Contract to take any of the actions prohibited by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caps w:val="false"/>
          <w:smallCaps w:val="false"/>
          <w:sz w:val="20"/>
        </w:rPr>
        <w:t>No Solicitation.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No Solicitation or Negotiation</w:t>
      </w:r>
      <w:r>
        <w:rPr>
          <w:rFonts w:ascii="Times New Roman;Times;Serif" w:hAnsi="Times New Roman;Times;Serif"/>
          <w:b w:val="false"/>
          <w:i w:val="false"/>
          <w:caps w:val="false"/>
          <w:smallCaps w:val="false"/>
          <w:sz w:val="20"/>
        </w:rPr>
        <w:t xml:space="preserve">. Subject to the terms of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xml:space="preserve">, during the Interim Period, the Company will instruct its legal and financial advisors, to (i) cease and cause to be terminated any discussions or negotiations with, (ii) cease providing any further non-public information with respect to the Company Group to, and (iii) terminate all access granted to any physical or electronic data room (or other access to diligence) to, any Person and its Affiliates or Representatives that relates to, or that would reasonably be expected to lead to, an Acquisition Proposal. Subject to the terms of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xml:space="preserve">, during the Interim Period, the Company Group will not, and will not instruct, authorize or knowingly permit any of its Representatives to, directly or indirectly, (1) solicit, initiate, or propose the making, submission or announcement of, or knowingly induce, encourage, facilitate or assist, any proposal that constitutes, or would reasonably be expected to lead to, an Acquisition Proposal; (2) furnish to any Person (other than to Parent and its Affiliates and their respective Representatives) any non-public information relating to the Company Group or afford to any Person access to the business, properties, assets, books, records or other non-public information, or to any personnel, of the Company Group (other than Parent and its Affiliates and their respective Representatives), in any such case in connection with any Acquisition Proposal or with the intent to induce the making, submission or announcement of, or to knowingly encourage, facilitate or assist, any proposal that constitutes, or would reasonably be expected to lead to, an Acquisition Proposal; (3) participate or engage in, or knowingly facilitate, discussions or negotiations with any Person with respect to an Acquisition Proposal or with respect to any inquiries from any Person relating to the making of an Acquisition Proposal (other than informing such Persons of the provisions contained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and contacting the Person making the Acquisition Proposal to the extent necessary to clarify the terms of the Acquisition Proposal); (4) approve, endorse, or recommend any proposal that constitutes, or would reasonably be expected to lead to, an Acquisition Proposal; (5) enter into any letter of intent, memorandum of understanding, merger agreement, acquisition agreement or other Contract relating to an Acquisition Transaction (any such letter of intent, memorandum of understanding, merger agreement, acquisition agreement or other Contract relating to an Acquisition Transaction, an “</w:t>
      </w:r>
      <w:r>
        <w:rPr>
          <w:rFonts w:ascii="Times New Roman;Times;Serif" w:hAnsi="Times New Roman;Times;Serif"/>
          <w:b/>
          <w:i w:val="false"/>
          <w:caps w:val="false"/>
          <w:smallCaps w:val="false"/>
          <w:sz w:val="20"/>
        </w:rPr>
        <w:t>Alternative Acquisition Agreement</w:t>
      </w:r>
      <w:r>
        <w:rPr>
          <w:rFonts w:ascii="Times New Roman;Times;Serif" w:hAnsi="Times New Roman;Times;Serif"/>
          <w:b w:val="false"/>
          <w:i w:val="false"/>
          <w:caps w:val="false"/>
          <w:smallCaps w:val="false"/>
          <w:sz w:val="20"/>
        </w:rPr>
        <w:t>”); or (6) authorize, propose or commit to do any of the foregoing. During the Interim Period, the Company will not be required to enforce, and will be permitted to waive, any provision of any standstill provision in any confidentiality agreement or Contract solely to the extent that such provision prohibits or purports to prohibit a confidential proposal being made to the Company Board (or any committee thereof) if the Company has determined in good faith, after consultation with its outside legal counsel, that failure to take such action would likely be inconsistent with its fiduciary duties under applicable Law. Promptly (and in any event within five Business Days) following the date of this Agreement, the Company will request that each Person (other than Parent and its Representatives) that has executed a confidentiality agreement prior to the date of this Agreement in connection with its consideration of an Acquisition Proposal promptly return or destroy, in accordance with the terms of such confidentiality agreement, all non-public information furnished to such Person by or on behalf of the Company prior to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Superior Proposals</w:t>
      </w:r>
      <w:r>
        <w:rPr>
          <w:rFonts w:ascii="Times New Roman;Times;Serif" w:hAnsi="Times New Roman;Times;Serif"/>
          <w:b w:val="false"/>
          <w:i w:val="false"/>
          <w:caps w:val="false"/>
          <w:smallCaps w:val="false"/>
          <w:sz w:val="20"/>
        </w:rPr>
        <w:t xml:space="preserve">. Notwithstanding anything to contrary set forth in this Agreement, from the date hereof until the Company’s receipt of the Requisite Stockholder Approvals, the Company and the Company Board (or a committee thereof) may, directly or indirectly through one or more of their Representatives, (i) participate or engage in discussions or negotiations with or (ii) furnish any non-public information relating to the Company Group to, or afford access to the business, properties, assets, books, records or other non-public information, or to any personnel, of the Company Group, in each case subject to customary confidentiality arrangements, to any Person (or its Affiliates, Representatives or financing sources) that has made or delivered to the Company an Acquisition Proposal after the date hereof, and otherwise facilitate the making of such Acquisition Proposal, in each case with respect to an Acquisition Proposal that did not result from any material breach of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Company Board (or a committee thereof) has determined in good faith (after consultation with its financial advisor and outside legal counsel) that such Acquisition Proposal either constitutes a Superior Proposal or would reasonably be expected to lead to a Superior Proposal, and the Company Board (or a committee thereof) has determined in good faith (after consultation with its outside legal counsel) that the failure to take the actions contemplated by this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xml:space="preserve"> would likely be inconsistent with its fiduciary duties pursuant to applicable Law;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will promptly (and in any event within two Business Days) make available to Parent any non-public information concerning the Company Group that is provided to any such Person or its Affiliates, Representatives or financing sources that was not previously made available to Parent or any of its Affiliates, Representatives or financing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No Change in Company Board Recommendation or Entry into an Alternative Acquisition Agreement</w:t>
      </w:r>
      <w:r>
        <w:rPr>
          <w:rFonts w:ascii="Times New Roman;Times;Serif" w:hAnsi="Times New Roman;Times;Serif"/>
          <w:b w:val="false"/>
          <w:i w:val="false"/>
          <w:caps w:val="false"/>
          <w:smallCaps w:val="false"/>
          <w:sz w:val="20"/>
        </w:rPr>
        <w:t xml:space="preserve">. Except as provided by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during the Interim Period, the Company Board (or a committee thereof) may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withhold, withdraw, amend, qualify or modify, or publicly propose to withhold, withdraw, amend, qualify or modify, the Company Board Recommendation in a manner adverse to Parent in any material respect (it being understood that it shall be considered a modification adverse to Parent if any Acquisition Proposal structured as a tender or exchange offer is commenced and the Company Board fails to publicly recommend against acceptance of such tender or exchange offer by the Stockholders within 10 Business Days of commencement thereof pursuant to Rule 14d-2 of the Exchange Act); (B) adopt, approve, endorse, recommend or otherwise declare advisable an Acquisition Proposal; (C) fail to publicly reaffirm the Company Board Recommendation within 10 Business Days after Parent requests in writing (or, if the Stockholder Meeting is scheduled to be held within 10 Business Days, then within one Business Day after Parent so requests in writing); (D) take or fail to take any formal action or make or fail to make any recommendation or public statement in connection with a tender or exchange offer, other than a recommendation against such offer or a “stop, look and listen” communication by the Company Board (or a committee thereof) to the Stockholders pursuant to Rule 14d-9(f) promulgated under the Exchange Act (or any substantially similar communication) (it being understood that the Company Board (or a committee thereof) may refrain from taking a position with respect to an Acquisition Proposal until 5:30 p.m. (Eastern Time) on the 10th Business Day after the commencement of a tender or exchange offer in connection with such Acquisition Proposal without such action being considered a violation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or (E) fail to include the Company Board Recommendation in the Proxy Statement (any action described in clauses (A) through (E), a “</w:t>
      </w:r>
      <w:r>
        <w:rPr>
          <w:rFonts w:ascii="Times New Roman;Times;Serif" w:hAnsi="Times New Roman;Times;Serif"/>
          <w:b/>
          <w:i w:val="false"/>
          <w:caps w:val="false"/>
          <w:smallCaps w:val="false"/>
          <w:sz w:val="20"/>
        </w:rPr>
        <w:t>Company Board Recommendation Change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the avoidance of doubt, none of (1) the determination, in itself, by the Company Board (or a committee thereof) that an Acquisition Proposal constitutes a Superior Proposal or (2) the delivery, in itself, by the Company to Parent of any notice contemplated by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will constitute a Company Board Recommendation Change; or</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cause or permit the Company Group to enter into an Alternative Acquisition Agreement.</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Company Board Recommendation Change; Entry into Alternative Acquisition Agreement</w:t>
      </w:r>
      <w:r>
        <w:rPr>
          <w:rFonts w:ascii="Times New Roman;Times;Serif" w:hAnsi="Times New Roman;Times;Serif"/>
          <w:b w:val="false"/>
          <w:i w:val="false"/>
          <w:caps w:val="false"/>
          <w:smallCaps w:val="false"/>
          <w:sz w:val="20"/>
        </w:rPr>
        <w:t>. Notwithstanding anything to the contrary set forth in this Agreement, at any time prior to obtaining the Requisite Stockholder Approvals: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other than in connection with an Acquisition Proposal that constitutes a Superior Proposal, the Company Board (or a committee thereof) may effect a Company Board Recommendation Change in response to any material event or development or material change in circumstances after the date of this Agreement with respect to the Company that (A) was not known to, or reasonably foreseeable by, the Company Board as of the date hereof; and (B) does not relate to (1) any Acquisition Proposal; (2) the mere fact, in and of itself, that the Company meets or exceeds any internal or published projections, forecasts, estimates or predictions of revenue, earnings or other financial or operating metrics for any period ending on or after the date hereof, or changes after the date hereof in the market price or trading volume of the Company Common Stock (it being understood that the underlying cause of any of the foregoing in this clause (2) may be considered and taken into account); (3) any change, action, event, condition, state of facts or effect relating to Parent, Merger Sub or any of their respective Affiliates; or (4) changes in general economic, political or financial conditions or markets or in any industry or industries in which the Company operates (each such event, an “</w:t>
      </w:r>
      <w:r>
        <w:rPr>
          <w:rFonts w:ascii="Times New Roman;Times;Serif" w:hAnsi="Times New Roman;Times;Serif"/>
          <w:b/>
          <w:i w:val="false"/>
          <w:caps w:val="false"/>
          <w:smallCaps w:val="false"/>
          <w:sz w:val="20"/>
        </w:rPr>
        <w:t>Intervening Event</w:t>
      </w:r>
      <w:r>
        <w:rPr>
          <w:rFonts w:ascii="Times New Roman;Times;Serif" w:hAnsi="Times New Roman;Times;Serif"/>
          <w:b w:val="false"/>
          <w:i w:val="false"/>
          <w:caps w:val="false"/>
          <w:smallCaps w:val="false"/>
          <w:sz w:val="20"/>
        </w:rPr>
        <w:t>”), if the Company Board (or a committee thereof) determines in good faith (after consultation with its outside legal counsel) that the failure to do so would likely be inconsistent with its fiduciary duties pursuant to applicable Law and if and only if:</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has provided prior written notice to Parent at least four Business Days in advance (the “</w:t>
      </w:r>
      <w:r>
        <w:rPr>
          <w:rFonts w:ascii="Times New Roman;Times;Serif" w:hAnsi="Times New Roman;Times;Serif"/>
          <w:b/>
          <w:i w:val="false"/>
          <w:caps w:val="false"/>
          <w:smallCaps w:val="false"/>
          <w:sz w:val="20"/>
        </w:rPr>
        <w:t>Advance Notice Period</w:t>
      </w:r>
      <w:r>
        <w:rPr>
          <w:rFonts w:ascii="Times New Roman;Times;Serif" w:hAnsi="Times New Roman;Times;Serif"/>
          <w:b w:val="false"/>
          <w:i w:val="false"/>
          <w:caps w:val="false"/>
          <w:smallCaps w:val="false"/>
          <w:sz w:val="20"/>
        </w:rPr>
        <w:t xml:space="preserve">”) to the effect that the Company Board (or a committee thereof) has (A) so determined; and (B) resolved to effect a Company Board Recommendation Change pursuant to this </w:t>
      </w:r>
      <w:r>
        <w:rPr>
          <w:rFonts w:ascii="Times New Roman;Times;Serif" w:hAnsi="Times New Roman;Times;Serif"/>
          <w:b w:val="false"/>
          <w:i w:val="false"/>
          <w:caps w:val="false"/>
          <w:smallCaps w:val="false"/>
          <w:sz w:val="20"/>
          <w:u w:val="single"/>
        </w:rPr>
        <w:t>Section 5.2(d)(i)</w:t>
      </w:r>
      <w:r>
        <w:rPr>
          <w:rFonts w:ascii="Times New Roman;Times;Serif" w:hAnsi="Times New Roman;Times;Serif"/>
          <w:b w:val="false"/>
          <w:i w:val="false"/>
          <w:caps w:val="false"/>
          <w:smallCaps w:val="false"/>
          <w:sz w:val="20"/>
        </w:rPr>
        <w:t>, which notice will specify in reasonable detail the basis for such Company Board Recommendation Change and describe the applicable Intervening Event in reasonable detail; and</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prior to effecting such Company Board Recommendation Change, (i) the Company and its Representatives, during such Advance Notice Period (which period shall expire at 5:00 p.m. (Eastern Time) on the fourth Business Day (the “</w:t>
      </w:r>
      <w:r>
        <w:rPr>
          <w:rFonts w:ascii="Times New Roman;Times;Serif" w:hAnsi="Times New Roman;Times;Serif"/>
          <w:b/>
          <w:i w:val="false"/>
          <w:caps w:val="false"/>
          <w:smallCaps w:val="false"/>
          <w:sz w:val="20"/>
        </w:rPr>
        <w:t>Notice Period Expiration</w:t>
      </w:r>
      <w:r>
        <w:rPr>
          <w:rFonts w:ascii="Times New Roman;Times;Serif" w:hAnsi="Times New Roman;Times;Serif"/>
          <w:b w:val="false"/>
          <w:i w:val="false"/>
          <w:caps w:val="false"/>
          <w:smallCaps w:val="false"/>
          <w:sz w:val="20"/>
        </w:rPr>
        <w:t>”)), must have negotiated with Parent and its Representatives in good faith (to the extent that Parent requests to so negotiate) to make such adjustments to the terms and conditions of this Agreement so that the Company Board (or a committee thereof) no longer determines that the failure to make a Company Board Recommendation Change in response to such Intervening Event would likely be inconsistent with its fiduciary duties pursuant to applicable Law, and (ii) following the Notice Period Expiration, the Company Board (or a committee thereof) (after consultation with its outside legal counsel and taking into account Parent’s proposed revisions to the terms and conditions of this Agreement) has determined that the failure of the Company Board (or a committee thereof) to make a Company Board Recommendation Change would likely be inconsistent with its fiduciary duties pursuant to applicable Law; it being understood that each time that material modifications or developments with respect to the Intervening Event occur (as reasonably determined by the Company Board (or a committee thereof) in good faith), the Company shall notify Parent of such modification and the time period set forth in this clause (2) shall recommence and be extended for two Business Days from the later of (a) the delivery of such written notice to Parent and (b) the Notice Period Expiration;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Company has received a bona fide Acquisition Proposal that the Company Board (or a committee thereof) has concluded in good faith (after consultation with its financial advisor and outside legal counsel) is a Superior Proposal, then the Company Board may (A) effect a Company Board Recommendation Change with respect to such Acquisition Proposal; or (B) authorize the Company to terminate this Agreement pursuant to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to enter into an Alternative Acquisition Agreement with respect to such Acquisition Proposal, in each case if and only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Board (or a committee thereof) determines in good faith (after consultation with its outside legal counsel) that the failure to do so would likely be inconsistent with its fiduciary duties pursuant to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Company Group and its Representatives have complied in all material respects with their obligations pursuant to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with respect to such Acquisition Proposal;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 the Company has provided prior written notice upon commencement of the Advance Notice Period to the effect that the Company Board (or a committee thereof) has (A) received an Acquisition Proposal that has not been withdrawn; (B) concluded in good faith (after consultation with its financial advisor and outside legal counsel) that such Acquisition Proposal constitutes a Superior Proposal; and (C) resolved to effect a Company Board Recommendation Change or to terminate this Agreement pursuant to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absent any revision to the terms and conditions of this Agreement that would cause such Acquisition Proposal to cease to constitute a Superior Proposal, which notice will specify the basis for such Company Board Recommendation Change or termination, including the identity of the Person or “group” of Persons making such Acquisition Proposal, the material terms thereof and copies of all relevant documents relating to such Acquisition Proposal; and (ii) prior to effecting such Company Board Recommendation Change or termination, the Company and its Representatives, during the Advance Notice Period (which period shall expire at 11:59 p.m. (Eastern Time) on the fourth Business Day of the Advance Notice Period), must have negotiated with Parent and its Representatives in good faith (to the extent that Parent requests to so negotiate) to make such adjustments to the terms and conditions of this Agreement so that such Acquisition Proposal would cease to constitute a Superior Proposal;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(1) in the event of any material revisions, amendments, updates or supplements to such Acquisition Proposal, the Company will be required to deliver a new written notice to Parent and to comply with the requirements of this </w:t>
      </w:r>
      <w:r>
        <w:rPr>
          <w:rFonts w:ascii="Times New Roman;Times;Serif" w:hAnsi="Times New Roman;Times;Serif"/>
          <w:b w:val="false"/>
          <w:i w:val="false"/>
          <w:caps w:val="false"/>
          <w:smallCaps w:val="false"/>
          <w:sz w:val="20"/>
          <w:u w:val="single"/>
        </w:rPr>
        <w:t>Section 5.2(d)(ii)(3)</w:t>
      </w:r>
      <w:r>
        <w:rPr>
          <w:rFonts w:ascii="Times New Roman;Times;Serif" w:hAnsi="Times New Roman;Times;Serif"/>
          <w:b w:val="false"/>
          <w:i w:val="false"/>
          <w:caps w:val="false"/>
          <w:smallCaps w:val="false"/>
          <w:sz w:val="20"/>
        </w:rPr>
        <w:t xml:space="preserve"> with respect to such new written notice (it being understood that the “Advance Notice Period” in respect of such new written notice will be two Business Days from the later of (x) the delivery of such written notice to Parent and (y) the Notice Period Expiration for the original Advance Notice Period), and (2) upon the Notice Period Expiration, the Company Board (or a committee thereof) must have in good faith (after consultation with its financial advisor and outside legal counsel and taking into account Parent’s proposed revisions to the terms and conditions of this Agreement) reaffirmed its determination described in clause (1) above that such Acquisition Proposal is a Superior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 Notice</w:t>
      </w:r>
      <w:r>
        <w:rPr>
          <w:rFonts w:ascii="Times New Roman;Times;Serif" w:hAnsi="Times New Roman;Times;Serif"/>
          <w:b w:val="false"/>
          <w:i w:val="false"/>
          <w:caps w:val="false"/>
          <w:smallCaps w:val="false"/>
          <w:sz w:val="20"/>
        </w:rPr>
        <w:t>. During the Interim Period, the Company will promptly (and, in any event, within 24 hours) notify Parent in writing of (i) any Acquisition Proposal that is received by the Company or any of its Representatives or (ii) any non-public information requested from, or if any discussions or negotiations are sought to be initiated or continued with, the Company or any of its Representatives with respect to an Acquisition Proposal. Such notice must include (A) the identity of the Person or “group” of Persons making such Acquisition Proposal; and (B) a copy of the written Acquisition Proposal (or if oral, a summary of the material terms and conditions of such Acquisition Proposal received from such Person or “group”). Thereafter, the Company must keep Parent reasonably informed, on a prompt basis (and in any event within 48 hours of any material development with regard to or material amendment of such proposal or request), of the status and terms of any such proposal (including any amendments thereto) and the status of any such discussions or negotiations, including providing copies of any new or amended material agreements, documents or other written materials submitted in connection therewith. During the Interim Period, the Company will promptly (and, in any event, within 24 hours) make available to Parent any non-public information concerning the Company that is provided to any such Person or group or its Representatives that was not previously made available to Parent or its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 Certain Disclosures</w:t>
      </w:r>
      <w:r>
        <w:rPr>
          <w:rFonts w:ascii="Times New Roman;Times;Serif" w:hAnsi="Times New Roman;Times;Serif"/>
          <w:b w:val="false"/>
          <w:i w:val="false"/>
          <w:caps w:val="false"/>
          <w:smallCaps w:val="false"/>
          <w:sz w:val="20"/>
        </w:rPr>
        <w:t>. So long as the Company Board (or a committee thereof) expressly reaffirms the Company Board Recommendation in any such public disclosure (other than in a customary “stop, look and listen” communication to the Stockholders pursuant to Rule 14d-9 promulgated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nothing in this Agreement will prohibit the Company or the Company Board (or a committee thereof) from (A) taking and disclosing to the Stockholders a position contemplated by Rule 14e-2(a) promulgated under the Exchange Act or complying with Rule 14d-9 promulgated under the Exchange Act, including a “stop, look and listen” communication by the Company Board (or a committee thereof) to the Stockholders pursuant to Rule 14d-9(f) promulgated under the Exchange Act (or any substantially similar communication); (B) complying with Item 1012(a) of Regulation M-A promulgated under the Exchange Act; (C) informing any Person of the existence of the provisions contained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or (D) making any disclosure to the Stockholders (including regarding the business, financial condition or results of operations of the Company Group) that the Company Board (or a committee thereof) has determined to make in good faith in order to comply with applicable Law, regulation or stock exchange rule or listing agreement, it being understood that any such statement or disclosure made by the Company Board (or a committee thereof) pursuant to this </w:t>
      </w:r>
      <w:r>
        <w:rPr>
          <w:rFonts w:ascii="Times New Roman;Times;Serif" w:hAnsi="Times New Roman;Times;Serif"/>
          <w:b w:val="false"/>
          <w:i w:val="false"/>
          <w:caps w:val="false"/>
          <w:smallCaps w:val="false"/>
          <w:sz w:val="20"/>
          <w:u w:val="single"/>
        </w:rPr>
        <w:t>Section 5.2(g)(i)</w:t>
      </w:r>
      <w:r>
        <w:rPr>
          <w:rFonts w:ascii="Times New Roman;Times;Serif" w:hAnsi="Times New Roman;Times;Serif"/>
          <w:b w:val="false"/>
          <w:i w:val="false"/>
          <w:caps w:val="false"/>
          <w:smallCaps w:val="false"/>
          <w:sz w:val="20"/>
        </w:rPr>
        <w:t xml:space="preserve"> must be subject to the terms and conditions of this Agreement and will not limit or otherwise affect the obligations of the Company or the Company Board (or any committee thereof) and the rights of Parent under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it being understood that nothing in the foregoing will be deemed to permit the Company or the Company Board (or a committee thereof) to effect a Company Board Recommendation Change other than in accordance with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it is understood and agreed that, for purposes of this Agreement, a factually accurate public statement by the Company or the Company Board (or a committee thereof) that solely (A) describes the Company’s receipt of an Acquisition Proposal, (B) identifies the Person making such Acquisition Proposal, (C) provides the material terms of such Acquisition Proposal, or (D) describes the operation of this Agreement with respect thereto will not, in and of itself, be deemed to be (1) a withholding, withdrawal, amendment, or modification, or proposal by the Company Board (or a committee thereof) to withhold, withdraw, amend or modify, the Company Board Recommendation; (2) an adoption, approval or recommendation with respect to such Acquisition Proposal; or (3) a Company Board Recommendation 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Breach by Representatives</w:t>
      </w:r>
      <w:r>
        <w:rPr>
          <w:rFonts w:ascii="Times New Roman;Times;Serif" w:hAnsi="Times New Roman;Times;Serif"/>
          <w:b w:val="false"/>
          <w:i w:val="false"/>
          <w:caps w:val="false"/>
          <w:smallCaps w:val="false"/>
          <w:sz w:val="20"/>
        </w:rPr>
        <w:t xml:space="preserve">. The Company agrees that (i). any action taken by a Representative of the Company (other than a Specified Person) that is authorized or directed by the Company or any Specified Person, or that a Specified Person is made aware of and does not take prompt action to cease, and that, if taken by the Company, would constitute a material breach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will be deemed to constitute a material breach by the Company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and (ii) any action taken by a Specified Person that, if taken by the Company, would constitute a material breach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will be deemed to constitute a material breach by the Company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caps w:val="false"/>
          <w:smallCaps w:val="false"/>
          <w:sz w:val="20"/>
        </w:rPr>
        <w:t>Required Action and Forbearance; Efforts.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Reasonable Best Efforts</w:t>
      </w:r>
      <w:r>
        <w:rPr>
          <w:rFonts w:ascii="Times New Roman;Times;Serif" w:hAnsi="Times New Roman;Times;Serif"/>
          <w:b w:val="false"/>
          <w:i w:val="false"/>
          <w:caps w:val="false"/>
          <w:smallCaps w:val="false"/>
          <w:sz w:val="20"/>
        </w:rPr>
        <w:t xml:space="preserve">. Upon the terms and subject to the conditions set forth in this Agreement, the Buyer Parties, on the one hand, and the Company, on the other hand, will use their respective reasonable best efforts (except where an alternative standard is otherwise expressly provided for herein) to (i) take (or cause to be taken) all actions; (ii) do (or cause to be done) all things; and (iii) assist and cooperate with the other Parties in doing (or causing to be done) all things, in each case as are necessary, proper or advisable pursuant to applicable Law or otherwise to consummate and make effective, in the most expeditious manner practicable, the Merger, including by: (A) causing the conditions to the Merger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to be satisfied; (B) (1) obtaining all Consents from Governmental Authorities; and (2) making all registrations, declarations and filings with Governmental Authorities, in each case that are necessary or advisable to consummate the Merger; (C) obtaining all Consents and delivering all notifications pursuant to any Company Material Contracts in connection with this Agreement and the consummation of the Merger so as to maintain and preserve the benefits to the Surviving Corporation of such Company Material Contracts as of and following the consummation of the Merger; and (D) executing and delivering any Contracts and other instruments that are reasonably necessary to consummate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No Omission to Take Necessary Action</w:t>
      </w:r>
      <w:r>
        <w:rPr>
          <w:rFonts w:ascii="Times New Roman;Times;Serif" w:hAnsi="Times New Roman;Times;Serif"/>
          <w:b w:val="false"/>
          <w:i w:val="false"/>
          <w:caps w:val="false"/>
          <w:smallCaps w:val="false"/>
          <w:sz w:val="20"/>
        </w:rPr>
        <w:t xml:space="preserve">. In addition to the foregoing, subject to the terms and conditions of this Agreement, neither the Buyer Parties, on the one hand, nor the Company, on the other hand, will take any action, or omit to take any action, which action or omission is intended to or has (or would reasonably be expected to have) the effect of preventing, impairing, delaying or otherwise adversely affecting (i) the consummation of the Merger; (ii) the consummation of the Parent Acquisition Financing or (iii) the ability of such Parties to fully perform their obligations pursuant to this Agreement. For the avoidance of doubt, no action by any member of the Company Group or Buyer Parties taken (or failed to be taken) in compliance with the express terms of this Agreement will be considered a violation of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caps w:val="false"/>
          <w:smallCaps w:val="false"/>
          <w:sz w:val="20"/>
        </w:rPr>
        <w:t>Government Filings</w:t>
      </w:r>
      <w:r>
        <w:rPr>
          <w:rFonts w:ascii="Times New Roman;Times;Serif" w:hAnsi="Times New Roman;Times;Serif"/>
          <w:b w:val="false"/>
          <w:i w:val="false"/>
          <w:caps w:val="false"/>
          <w:smallCaps w:val="false"/>
          <w:sz w:val="20"/>
        </w:rPr>
        <w:t>. The Buyer Parties on the one hand shall, and shall cause their respective Affiliates, if applicable to, and the Company, on the other hand, shall, to the extent required in the reasonable judgment of counsel to Parent and the Company, as soon as practicable after the date of this Agreement execute and file, or join in the execution and filing of, notification filings, forms and submissions with any Governmental Authority (including in draft form where applicable) that may be necessary in order to obtain the Consent of any Governmental Authority, whether federal, state, local or foreign, which may be required in connection with the consummation of the Merger or the other transactions contemplated hereby. Each of Parent and the Company will use reasonable best efforts to (A) cooperate and coordinate (and cause its respective Affiliates to cooperate and coordinate) with the other in the making of such filings; (B) supply the other (or cause the other to be supplied) with any information that may be required in order to make such filings; (C) supply (or cause the other to be supplied) any additional information that may be required or requested by the Governmental Authorities of any applicable jurisdiction in which any such filing is made; and (D) take all action necessary to obtain the required Consents from such Governmental Authorities, in each case as soon as practicable.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caps w:val="false"/>
          <w:smallCaps w:val="false"/>
          <w:sz w:val="20"/>
        </w:rPr>
        <w:t>Proxy Statement, Schedule 13e-3 and Other Required SEC Filings.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Proxy Statement</w:t>
      </w:r>
      <w:r>
        <w:rPr>
          <w:rFonts w:ascii="Times New Roman;Times;Serif" w:hAnsi="Times New Roman;Times;Serif"/>
          <w:b w:val="false"/>
          <w:i w:val="false"/>
          <w:caps w:val="false"/>
          <w:smallCaps w:val="false"/>
          <w:sz w:val="20"/>
        </w:rPr>
        <w:t>. The Company will use its reasonable best efforts to prepare and file with the SEC, as promptly as reasonably practicable after the date of this Agreement (but in no event later than fifteen (15) Business Days after the date of this Agreement unless Parent and the Company agree to a later filing date), a preliminary proxy statement (as amended or supplemented,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xml:space="preserve">”) in connection with the Stockholder Meeting. Subject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and unless there has been a Company Board Recommendation Change, the Company must include the Company Board Recommendation in the Proxy Statement and use its reasonable best efforts to solicit proxies to obtain the Requisite Stockholder Approvals. The Company shall use its reasonable best efforts to have the Proxy Statement cleared by the SEC as promptly as practicable after the filing thereof, including responding as promptly as reasonably practicable to any comments received from the SEC or its staff concerning the Proxy Statement or Schedule 13e-3.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 Rule 13e-3 Transaction Statement. </w:t>
      </w:r>
      <w:r>
        <w:rPr>
          <w:rFonts w:ascii="Times New Roman;Times;Serif" w:hAnsi="Times New Roman;Times;Serif"/>
          <w:b w:val="false"/>
          <w:i w:val="false"/>
          <w:caps w:val="false"/>
          <w:smallCaps w:val="false"/>
          <w:sz w:val="20"/>
        </w:rPr>
        <w:t>The Company and Parent shall cooperate to, concurrently with the preparation of the Proxy Statement, jointly prepare and, concurrently with the filing of the Proxy Statement (but in no event later than fifteen (15) Business Days after the date of this Agreement unless Parent and the Company agree to a later filing date), jointly file with the SEC a Rule 13e-3 Transaction Statement on Schedule 13e-3 (such transaction statement, including any amendment or supplement thereto, the “</w:t>
      </w:r>
      <w:r>
        <w:rPr>
          <w:rFonts w:ascii="Times New Roman;Times;Serif" w:hAnsi="Times New Roman;Times;Serif"/>
          <w:b/>
          <w:i w:val="false"/>
          <w:caps w:val="false"/>
          <w:smallCaps w:val="false"/>
          <w:sz w:val="20"/>
        </w:rPr>
        <w:t>Schedule 13e-3</w:t>
      </w:r>
      <w:r>
        <w:rPr>
          <w:rFonts w:ascii="Times New Roman;Times;Serif" w:hAnsi="Times New Roman;Times;Serif"/>
          <w:b w:val="false"/>
          <w:i w:val="false"/>
          <w:caps w:val="false"/>
          <w:smallCaps w:val="false"/>
          <w:sz w:val="20"/>
        </w:rPr>
        <w:t>”) relating to the transactions contemplated by this Agreement. The Company and Parent agree, as to themselves and their Affiliates, that the Schedule 13e-3 will comply in all material respects with the applicable provisions of the Exchange Act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 Other Required Company Filing</w:t>
      </w:r>
      <w:r>
        <w:rPr>
          <w:rFonts w:ascii="Times New Roman;Times;Serif" w:hAnsi="Times New Roman;Times;Serif"/>
          <w:b w:val="false"/>
          <w:i w:val="false"/>
          <w:caps w:val="false"/>
          <w:smallCaps w:val="false"/>
          <w:sz w:val="20"/>
        </w:rPr>
        <w:t>. If the Company determines that it is required to file any document other than the Proxy Statement with the SEC in connection with the Merger pursuant to applicable Law (such document, as amended or supplemented, an “</w:t>
      </w:r>
      <w:r>
        <w:rPr>
          <w:rFonts w:ascii="Times New Roman;Times;Serif" w:hAnsi="Times New Roman;Times;Serif"/>
          <w:b/>
          <w:i w:val="false"/>
          <w:caps w:val="false"/>
          <w:smallCaps w:val="false"/>
          <w:sz w:val="20"/>
        </w:rPr>
        <w:t>Other Required Company Filing</w:t>
      </w:r>
      <w:r>
        <w:rPr>
          <w:rFonts w:ascii="Times New Roman;Times;Serif" w:hAnsi="Times New Roman;Times;Serif"/>
          <w:b w:val="false"/>
          <w:i w:val="false"/>
          <w:caps w:val="false"/>
          <w:smallCaps w:val="false"/>
          <w:sz w:val="20"/>
        </w:rPr>
        <w:t>”), then the Company will promptly prepare and file such Other Required Company Filing with the SEC. The Company will use its reasonable best efforts to cause the Proxy Statement and any Other Required Company Filing to comply as to form in all material respects with the applicable requirements of the Exchange Act and the rules of the SEC and FINRA. The Company may not file the Proxy Statement, the Schedule 13e-3 or any Other Required Company Filing with the SEC without first providing Parent and its counsel a reasonable opportunity to review and comment thereon, and the Company will give due consideration in good faith to all reasonable additions, deletions or changes suggested thereto by Parent or their counsel. On the date of filing, the date of mailing (or other dissemination) to the Stockholders (if applicable) and at the time of the Stockholder Meeting, neither the Proxy Statement nor the Schedule 13e-3 or any Other Required Company Filing will contain any untrue statement of a material fact or omit to state any material fact required to be stated therein or necessary in order to make the statements therein, in light of the circumstances under which they are made, not false or misleading. Notwithstanding the foregoing, no representation, warranty or covenant is made by the Company with respect to any information supplied by or on behalf of the Buyer Parties or any of their Affiliates for inclusion or incorporation by reference in the Proxy Statement, the Schedule 13e-3 or any Other Required Company Filing. The information supplied by the Company for inclusion or incorporation by reference in the Proxy Statement, the Schedule 13e-3 or any Other Required Parent Filings will not, at the time that such Proxy Statement, Schedule 13e-3 or Other Required Parent Filing is filed with the SEC, contain any untrue statement of a material fact or omit to state any material fact required to be stated therein or necessary in order to make the statements therein, in light of the circumstances under which they are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 Other Required Parent Filing</w:t>
      </w:r>
      <w:r>
        <w:rPr>
          <w:rFonts w:ascii="Times New Roman;Times;Serif" w:hAnsi="Times New Roman;Times;Serif"/>
          <w:b w:val="false"/>
          <w:i w:val="false"/>
          <w:caps w:val="false"/>
          <w:smallCaps w:val="false"/>
          <w:sz w:val="20"/>
        </w:rPr>
        <w:t>. If Parent determines that any Buyer Party (or any of their respective Affiliates, if applicable) is required to file any document with the SEC as a result of the Merger or the Stockholder Meeting pursuant to applicable Law (an “</w:t>
      </w:r>
      <w:r>
        <w:rPr>
          <w:rFonts w:ascii="Times New Roman;Times;Serif" w:hAnsi="Times New Roman;Times;Serif"/>
          <w:b/>
          <w:i w:val="false"/>
          <w:caps w:val="false"/>
          <w:smallCaps w:val="false"/>
          <w:sz w:val="20"/>
        </w:rPr>
        <w:t>Other Required Parent Filing</w:t>
      </w:r>
      <w:r>
        <w:rPr>
          <w:rFonts w:ascii="Times New Roman;Times;Serif" w:hAnsi="Times New Roman;Times;Serif"/>
          <w:b w:val="false"/>
          <w:i w:val="false"/>
          <w:caps w:val="false"/>
          <w:smallCaps w:val="false"/>
          <w:sz w:val="20"/>
        </w:rPr>
        <w:t>”), then the Buyer Parties will, and will cause their respective Affiliates to, use their respective reasonable best efforts to promptly prepare and file such Other Required Parent Filing with the SEC. The Buyer Parties will cause, and will cause their respective Affiliates to cause, the Schedule 13e-3 and any Other Required Parent Filing to comply as to form in all material respects with the applicable requirements of the Exchange Act and the rules of the SEC. Neither the Buyer Parties nor any of their respective Affiliates may file the Schedule 13e-3 or any Other Required Parent Filing (or any amendment thereto) with the SEC without first providing the Company and its counsel a reasonable opportunity to review and comment thereon, and Parent will give due consideration to all reasonable additions, deletions or changes suggested thereto by the Company or its counsel. On the date of filing with the SEC and at the time of the Stockholder Meeting, neither the Schedule 13e-3 nor any Other Required Parent Filing will contain any untrue statement of a material fact or omit to state any material fact required to be stated therein or necessary in order to make the statements therein, in light of the circumstances under which they are made, not false or misleading. Notwithstanding the foregoing, no representation, warranty, or covenant is made by the Buyer Parties with respect to any information supplied by or on behalf of the Company or any of its Representatives for inclusion or incorporation by reference in the Schedule 13e-3 or any Other Required Parent Filing. The information supplied by the Buyer Parties and their respective Affiliates for inclusion or incorporation by reference in the Proxy Statement or any Other Required Company Filing will not, at the time that the Proxy Statement, Schedule 13e-3 or such Other Required Company Filing is filed with the SEC, contain any untrue statement of a material fact or omit to state any material fact required to be stated therein or necessary in order to make the statements therein, in light of the circumstances under which they are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 Furnishing Information</w:t>
      </w:r>
      <w:r>
        <w:rPr>
          <w:rFonts w:ascii="Times New Roman;Times;Serif" w:hAnsi="Times New Roman;Times;Serif"/>
          <w:b w:val="false"/>
          <w:i w:val="false"/>
          <w:caps w:val="false"/>
          <w:smallCaps w:val="false"/>
          <w:sz w:val="20"/>
        </w:rPr>
        <w:t>. Each of the Company, on the one hand, and the Buyer Parties, on the other hand, will furnish all information concerning it and its Affiliates, if applicable, as the other Party may reasonably request in connection with the preparation and filing with the SEC of the Proxy Statement, the Schedule 13e-3, and any Other Required Company Filing or any Other Required Parent Filing. If at any time prior to the Stockholder Meeting any information relating to the Company, the Buyer Parties or any of their respective Affiliates should be discovered by the Company, on the one hand, or Parent, on the other hand, that should be set forth in an amendment or supplement to the Proxy Statement, the Schedule 13e-3, any Other Required Company Filing or any Other Required Parent Filing, as the case may be, so that such filing would not include any misstatement of a material fact or omit to state any material fact required to be stated therein or necessary to make the statements therein, in light of the circumstances under which they were made, not misleading, then the Party that discovers such information will promptly notify the other, and an appropriate amendment or supplement to such filing describing such information will be promptly prepared and filed with the SEC by the appropriate Party (and, to the extent required by applicable Law or the SEC or its staff, disseminate such amendment or supplement to the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 Consultation Prior to Certain Communications</w:t>
      </w:r>
      <w:r>
        <w:rPr>
          <w:rFonts w:ascii="Times New Roman;Times;Serif" w:hAnsi="Times New Roman;Times;Serif"/>
          <w:b w:val="false"/>
          <w:i w:val="false"/>
          <w:caps w:val="false"/>
          <w:smallCaps w:val="false"/>
          <w:sz w:val="20"/>
        </w:rPr>
        <w:t>. The Company and its Affiliates, on the one hand, and Buyer Parties and its Affiliates, on the other hand, will not communicate in writing with the SEC or its staff with respect to the Proxy Statement, the Schedule 13e-3 any Other Required Company Filing or any Other Required Parent Filing, as the case may be, without first providing the other Party a reasonable opportunity to review and comment on such written communication, and each Party will give due consideration in good faith to all reasonable additions, deletions or changes suggested thereto by the other Parties or their respective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 Notices</w:t>
      </w:r>
      <w:r>
        <w:rPr>
          <w:rFonts w:ascii="Times New Roman;Times;Serif" w:hAnsi="Times New Roman;Times;Serif"/>
          <w:b w:val="false"/>
          <w:i w:val="false"/>
          <w:caps w:val="false"/>
          <w:smallCaps w:val="false"/>
          <w:sz w:val="20"/>
        </w:rPr>
        <w:t>. The Company, on the one hand, and Buyer Parties, on the other hand, will: (i) promptly advise the other of (A) any receipt of a request by the SEC or its staff for any amendment or revisions to the Proxy Statement, the Schedule 13e-3, any Other Required Company Filing or any Other Required Parent Filing, as the case may be; (B) any receipt of comments (oral or written) from the SEC or its staff on the Proxy Statement, the Schedule 13e-3, any Other Required Company Filing or any Other Required Parent Filing, as the case may be; or (C) any receipt of a request by the SEC or its staff for additional information, (ii) supply each other with copies of all written correspondence between it or any of its Representatives, on the one hand, and the SEC, on the other hand, with respect to such filings and (iii) provide each other and their respective outside counsel a reasonable opportunity to participate in any discussions or meetings with the SEC with respect to the Proxy Statement or the Schedule 13e-3, as applicable. The Parties will use their respective reasonable best efforts to resolve all SEC comments, if any, with respect to the Proxy Statement and the Schedule 13e-3 as promptly as practicable after the receipt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 Amendment</w:t>
      </w:r>
      <w:r>
        <w:rPr>
          <w:rFonts w:ascii="Times New Roman;Times;Serif" w:hAnsi="Times New Roman;Times;Serif"/>
          <w:b w:val="false"/>
          <w:i w:val="false"/>
          <w:caps w:val="false"/>
          <w:smallCaps w:val="false"/>
          <w:sz w:val="20"/>
        </w:rPr>
        <w:t>. Except as required by applicable Law, no amendment or supplement to the Proxy Statement will be made by the Company without the consent of Parent (which consent will not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 Dissemination of Proxy Statement</w:t>
      </w:r>
      <w:r>
        <w:rPr>
          <w:rFonts w:ascii="Times New Roman;Times;Serif" w:hAnsi="Times New Roman;Times;Serif"/>
          <w:b w:val="false"/>
          <w:i w:val="false"/>
          <w:caps w:val="false"/>
          <w:smallCaps w:val="false"/>
          <w:sz w:val="20"/>
        </w:rPr>
        <w:t>. Subject to applicable Law, the Company will use its reasonable best efforts to cause the definitive Proxy Statement to be disseminated to the Stockholders as promptly as reasonably practicable following the filing thereof with the SEC and confirmation from the SEC that it will not review, or that it has completed its review of or has not further comments on, the Schedule 13e-3 and Proxy Statement (such date, the “</w:t>
      </w:r>
      <w:r>
        <w:rPr>
          <w:rFonts w:ascii="Times New Roman;Times;Serif" w:hAnsi="Times New Roman;Times;Serif"/>
          <w:b/>
          <w:i w:val="false"/>
          <w:caps w:val="false"/>
          <w:smallCaps w:val="false"/>
          <w:sz w:val="20"/>
        </w:rPr>
        <w:t>SEC Clearance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9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caps w:val="false"/>
          <w:smallCaps w:val="false"/>
          <w:sz w:val="20"/>
        </w:rPr>
        <w:t>Stockholder Meeting.</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Call of Stockholder Meeting</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the Company will take all action necessary in accordance with applicable Law, the Existing Charter and the Existing Bylaws to establish a record date for (and the Company will not change the record date without the prior written consent of Parent (such consent not to be unreasonably withheld, conditioned or delayed)) and duly convene and hold a special meeting of its stockholders (the “</w:t>
      </w:r>
      <w:r>
        <w:rPr>
          <w:rFonts w:ascii="Times New Roman;Times;Serif" w:hAnsi="Times New Roman;Times;Serif"/>
          <w:b/>
          <w:i w:val="false"/>
          <w:caps w:val="false"/>
          <w:smallCaps w:val="false"/>
          <w:sz w:val="20"/>
        </w:rPr>
        <w:t>Stockholder Meeting</w:t>
      </w:r>
      <w:r>
        <w:rPr>
          <w:rFonts w:ascii="Times New Roman;Times;Serif" w:hAnsi="Times New Roman;Times;Serif"/>
          <w:b w:val="false"/>
          <w:i w:val="false"/>
          <w:caps w:val="false"/>
          <w:smallCaps w:val="false"/>
          <w:sz w:val="20"/>
        </w:rPr>
        <w:t xml:space="preserve">”), in each case, as soon as reasonably practicable following the SEC Clearance Date (which Stockholders Meeting shall in no event be scheduled initially for a date that is later than the 45th day following the first mailing of the Proxy Statement to the stockholders of the Company without the written consent of Parent), for the purpose of obtaining the Requisite Stockholder Approvals. Reasonably promptly after the date of this Agreement (and thereafter, upon the reasonable request of Parent made not more than once every week), the Company shall conduct a “broker search” in accordance with Rule 14a-13 of the Exchange Act. Subject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and unless there has been a Company Board Recommendation Change, the Company will use its reasonable best efforts to solicit proxies to obtain the Requisite Stockholder Approvals.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Adjournment of Stockholder Meeting</w:t>
      </w:r>
      <w:r>
        <w:rPr>
          <w:rFonts w:ascii="Times New Roman;Times;Serif" w:hAnsi="Times New Roman;Times;Serif"/>
          <w:b w:val="false"/>
          <w:i w:val="false"/>
          <w:caps w:val="false"/>
          <w:smallCaps w:val="false"/>
          <w:sz w:val="20"/>
        </w:rPr>
        <w:t xml:space="preserve">. Notwithstanding anything to the contrary in this Agreement, nothing will prevent the Company from postponing or adjourning the Stockholder Meeting if (i) there are holders of an insufficient number of shares of the Company Common Stock present or represented by proxy at the Stockholder Meeting to constitute a quorum at the Stockholder Meeting, or if, after consultation with Parent, the Company determines in good faith that the Requisite Stockholder Approvals are unlikely to be obtained at the Stockholder Meeting; (ii) the Company is required to postpone or adjourn the Stockholder Meeting by applicable Order or a request from the SEC or its staff; (iii) the Company Board (or a committee thereof) has determined in good faith (after consultation with outside legal counsel) that it is required by applicable Law to postpone or adjourn the Stockholder Meeting; or (iv) the Company Board (or a committee thereof) has determined in good faith (after consultation with outside legal counsel) that it is necessary or appropriate to postpone or adjourn the Stockholder Meeting in order to give the Stockholders sufficient time to evaluate any information or disclosure that the Company has sent to the Stockholders or otherwise made available to the Stockholders by issuing a press release, filing materials with the SEC or otherwise, in each case in accordance with the terms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absent of SEC review of the Proxy Statement, the Company may not postpone the Stockholders Meeting for more than an aggregate of 20 Business Days without the prior written consent of Parent (which shall not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caps w:val="false"/>
          <w:smallCaps w:val="false"/>
          <w:sz w:val="20"/>
        </w:rPr>
        <w:t>Anti-Takeover Laws</w:t>
      </w:r>
      <w:r>
        <w:rPr>
          <w:rFonts w:ascii="Times New Roman;Times;Serif" w:hAnsi="Times New Roman;Times;Serif"/>
          <w:b w:val="false"/>
          <w:i w:val="false"/>
          <w:caps w:val="false"/>
          <w:smallCaps w:val="false"/>
          <w:sz w:val="20"/>
        </w:rPr>
        <w:t>. On or prior to the date of this Agreement, the Company Board has taken all action necessary so that no Takeover Law or any anti-takeover provision in Existing Charter, Existing Bylaws or similar organizational documents of the Company (including any restrictions on business combinations contained therein) is applicable to the Company, the Shares or any other equity interests in the Company, this Agreement, the Merger or the Merger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caps w:val="false"/>
          <w:smallCaps w:val="false"/>
          <w:sz w:val="20"/>
        </w:rPr>
        <w:t>Access</w:t>
      </w:r>
      <w:r>
        <w:rPr>
          <w:rFonts w:ascii="Times New Roman;Times;Serif" w:hAnsi="Times New Roman;Times;Serif"/>
          <w:b w:val="false"/>
          <w:i w:val="false"/>
          <w:caps w:val="false"/>
          <w:smallCaps w:val="false"/>
          <w:sz w:val="20"/>
        </w:rPr>
        <w:t xml:space="preserve">. During the Interim Period, to the extent reasonably requested by Parent, the Company will afford Parent and its Representatives reasonable access during normal business hours, upon reasonable advance notice, to the properties, Contracts, books and records and personnel of the Company Group, except that the Company may restrict or otherwise prohibit access to any documents or information to the extent that (a) any applicable Law requires the Company Group to restrict or otherwise prohibit access to such documents or information; (b) access to such documents or information would in the good faith judgment of the Company based on advice of outside counsel give rise to a material risk of waiving any attorney-client privilege, work product doctrine or other privilege applicable to such documents or information (it being agreed that in the case of clause (b), the Company shall give notice to Parent of the fact that it is withholding such documents or information, and the reason for such withholding, and thereafter the Company will cooperate with Parent or its Representatives and use its commercially reasonable efforts to develop alternative methods of providing such documents or information in a manner that would not result in any violation, default, prejudice or loss or privilege); or (c) such documents or information are reasonably pertinent to any adverse Legal Proceeding between the Company and its Affiliates, on the one hand, and any Buyer Party and its Affiliates, on the other hand. Any investigation conducted pursuant to the access contemplated by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will be conducted in a manner that does not unreasonably interfere with the conduct of the business or operations of the Company Group or create a risk of damage or destruction to any property or assets of the Company Group. No investigation pursuant to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shall affect any representation or warranty in this Agreement of any Party hereto or any condition to the obligations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val="false"/>
          <w:i/>
          <w:caps w:val="false"/>
          <w:smallCaps w:val="false"/>
          <w:sz w:val="20"/>
        </w:rPr>
        <w:t>Section 16(b) Exemption</w:t>
      </w:r>
      <w:r>
        <w:rPr>
          <w:rFonts w:ascii="Times New Roman;Times;Serif" w:hAnsi="Times New Roman;Times;Serif"/>
          <w:b w:val="false"/>
          <w:i w:val="false"/>
          <w:caps w:val="false"/>
          <w:smallCaps w:val="false"/>
          <w:sz w:val="20"/>
        </w:rPr>
        <w:t>. Prior to the Closing, the Company will take all actions reasonably necessary to cause the Merger, and any dispositions of equity securities of the Company (including derivative securities) in connection with the Merger by each individual (directly or indirectly) that is a director or executive officer of the Company, or 10% holder of any class of registered equity securities of the Company, to be exempt pursuant to Rule 16b-3 promulgated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val="false"/>
          <w:i/>
          <w:caps w:val="false"/>
          <w:smallCaps w:val="false"/>
          <w:sz w:val="20"/>
        </w:rPr>
        <w:t>Directors’ and Officers’ Exculpation, Indemnification and 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Indemnified Persons</w:t>
      </w:r>
      <w:r>
        <w:rPr>
          <w:rFonts w:ascii="Times New Roman;Times;Serif" w:hAnsi="Times New Roman;Times;Serif"/>
          <w:b w:val="false"/>
          <w:i w:val="false"/>
          <w:caps w:val="false"/>
          <w:smallCaps w:val="false"/>
          <w:sz w:val="20"/>
        </w:rPr>
        <w:t xml:space="preserve">. For six years after the Effective Time, the Surviving Corporation will (and Parent will cause the Surviving Corporation to) honor and fulfill, in all respects, the obligations of the Company Group pursuant to (i) any indemnification agreements made available to Parent and set forth on, or described in, </w:t>
      </w:r>
      <w:r>
        <w:rPr>
          <w:rFonts w:ascii="Times New Roman;Times;Serif" w:hAnsi="Times New Roman;Times;Serif"/>
          <w:b w:val="false"/>
          <w:i w:val="false"/>
          <w:caps w:val="false"/>
          <w:smallCaps w:val="false"/>
          <w:sz w:val="20"/>
          <w:u w:val="single"/>
        </w:rPr>
        <w:t>Section 6.8(a)(i)</w:t>
      </w:r>
      <w:r>
        <w:rPr>
          <w:rFonts w:ascii="Times New Roman;Times;Serif" w:hAnsi="Times New Roman;Times;Serif"/>
          <w:b w:val="false"/>
          <w:i w:val="false"/>
          <w:caps w:val="false"/>
          <w:smallCaps w:val="false"/>
          <w:sz w:val="20"/>
        </w:rPr>
        <w:t xml:space="preserve"> of the Company Disclosure Schedule between a member of the Company Group and any of its current or former directors or officers (and any person who becomes a director or officer of a member of the Company Group prior to the Effective Time) (collectively, the “</w:t>
      </w:r>
      <w:r>
        <w:rPr>
          <w:rFonts w:ascii="Times New Roman;Times;Serif" w:hAnsi="Times New Roman;Times;Serif"/>
          <w:b/>
          <w:i w:val="false"/>
          <w:caps w:val="false"/>
          <w:smallCaps w:val="false"/>
          <w:sz w:val="20"/>
        </w:rPr>
        <w:t>Indemnified Persons</w:t>
      </w:r>
      <w:r>
        <w:rPr>
          <w:rFonts w:ascii="Times New Roman;Times;Serif" w:hAnsi="Times New Roman;Times;Serif"/>
          <w:b w:val="false"/>
          <w:i w:val="false"/>
          <w:caps w:val="false"/>
          <w:smallCaps w:val="false"/>
          <w:sz w:val="20"/>
        </w:rPr>
        <w:t xml:space="preserve">”) for any acts or omissions by such Indemnified Persons or employees occurring prior to the Effective Time and (ii) any indemnification, exculpation and advancement of expenses provision set forth in the certificates of incorporation, bylaws, and other similar organizational documents of the Company as in effect on the date hereof. </w:t>
      </w:r>
      <w:r>
        <w:rPr>
          <w:rFonts w:ascii="Times New Roman;Times;Serif" w:hAnsi="Times New Roman;Times;Serif"/>
          <w:b w:val="false"/>
          <w:i w:val="false"/>
          <w:caps w:val="false"/>
          <w:smallCaps w:val="false"/>
          <w:sz w:val="20"/>
          <w:u w:val="single"/>
        </w:rPr>
        <w:t>Section 6.8(a)(ii)</w:t>
      </w:r>
      <w:r>
        <w:rPr>
          <w:rFonts w:ascii="Times New Roman;Times;Serif" w:hAnsi="Times New Roman;Times;Serif"/>
          <w:b w:val="false"/>
          <w:i w:val="false"/>
          <w:caps w:val="false"/>
          <w:smallCaps w:val="false"/>
          <w:sz w:val="20"/>
        </w:rPr>
        <w:t xml:space="preserve"> of the Company Disclosure Schedule lists all agreements between an Indemnified Person, on the one hand, and a member of the Company Group, on the other hand.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D&amp;O Insurance</w:t>
      </w:r>
      <w:r>
        <w:rPr>
          <w:rFonts w:ascii="Times New Roman;Times;Serif" w:hAnsi="Times New Roman;Times;Serif"/>
          <w:b w:val="false"/>
          <w:i w:val="false"/>
          <w:caps w:val="false"/>
          <w:smallCaps w:val="false"/>
          <w:sz w:val="20"/>
        </w:rPr>
        <w:t>. Prior to the Closing, the Company shall, and if the Company is unable to, Parent shall cause the Surviving Corporation to, purchase from the Company’s existing management liability insurance carriers a prepaid “tail” policy with respect to the Company’s management liability insurance (including directors’ and officers’ liability, employment practices liability and fiduciary liability coverages) in effect on the date hereof (the “</w:t>
      </w:r>
      <w:r>
        <w:rPr>
          <w:rFonts w:ascii="Times New Roman;Times;Serif" w:hAnsi="Times New Roman;Times;Serif"/>
          <w:b/>
          <w:i w:val="false"/>
          <w:caps w:val="false"/>
          <w:smallCaps w:val="false"/>
          <w:sz w:val="20"/>
        </w:rPr>
        <w:t>D&amp;O Tail Policies</w:t>
      </w:r>
      <w:r>
        <w:rPr>
          <w:rFonts w:ascii="Times New Roman;Times;Serif" w:hAnsi="Times New Roman;Times;Serif"/>
          <w:b w:val="false"/>
          <w:i w:val="false"/>
          <w:caps w:val="false"/>
          <w:smallCaps w:val="false"/>
          <w:sz w:val="20"/>
        </w:rPr>
        <w:t>”) with a policy period of not less than six (6) years from the Closing and with terms and conditions no less favorable than the Company’s existing management liability policies and in such form as is reasonably acceptable to Parent. The Company shall arrange for and take necessary actions to effect the binding of coverage in respect of the D&amp;O Tail Policies effective as of the Closing. The Surviving Corporation will (and Parent will cause the Surviving Corporation to) maintain such D&amp;O Tail Policies in full force and effect and continue to honor its obligations thereunder for so long as such D&amp;O Tail Policies are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 Successors and Assigns</w:t>
      </w:r>
      <w:r>
        <w:rPr>
          <w:rFonts w:ascii="Times New Roman;Times;Serif" w:hAnsi="Times New Roman;Times;Serif"/>
          <w:b w:val="false"/>
          <w:i w:val="false"/>
          <w:caps w:val="false"/>
          <w:smallCaps w:val="false"/>
          <w:sz w:val="20"/>
        </w:rPr>
        <w:t xml:space="preserve">. If Parent, the Surviving Corporation or any of their respective successors or assigns will (i) consolidate with or merge into any other Person and not be the continuing or surviving corporation or entity in such consolidation or merger; or (ii) transfer all or substantially all of its properties and assets to any Person, then proper provisions will be made so that the successors and assigns of Parent, the Surviving Corporation or any of their respective successors or assigns will assume all of the obligations of Parent and the Surviving Corporation set forth in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 No Impairment</w:t>
      </w:r>
      <w:r>
        <w:rPr>
          <w:rFonts w:ascii="Times New Roman;Times;Serif" w:hAnsi="Times New Roman;Times;Serif"/>
          <w:b w:val="false"/>
          <w:i w:val="false"/>
          <w:caps w:val="false"/>
          <w:smallCaps w:val="false"/>
          <w:sz w:val="20"/>
        </w:rPr>
        <w:t xml:space="preserve">. Except as required by applicable Law, the obligations set forth in this </w:t>
      </w:r>
      <w:r>
        <w:rPr>
          <w:rFonts w:ascii="Times New Roman;Times;Serif" w:hAnsi="Times New Roman;Times;Serif"/>
          <w:b w:val="false"/>
          <w:i w:val="false"/>
          <w:caps w:val="false"/>
          <w:smallCaps w:val="false"/>
          <w:sz w:val="20"/>
          <w:u w:val="single"/>
        </w:rPr>
        <w:t xml:space="preserve">Section 6.8 </w:t>
      </w:r>
      <w:r>
        <w:rPr>
          <w:rFonts w:ascii="Times New Roman;Times;Serif" w:hAnsi="Times New Roman;Times;Serif"/>
          <w:b w:val="false"/>
          <w:i w:val="false"/>
          <w:caps w:val="false"/>
          <w:smallCaps w:val="false"/>
          <w:sz w:val="20"/>
        </w:rPr>
        <w:t xml:space="preserve">may not be terminated, amended or otherwise modified in any manner that adversely affects any Indemnified Person without the prior written consent of such affected Indemnified Person. Each of the Indemnified Persons are intended to be third party beneficiaries of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with full rights of enforcement as if such person were a Party. The rights of the Indemnified Persons pursuant to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will be in addition to, and not in substitution for, any other rights that such persons may have pursuant to: (i) the Existing Charter and Existing Bylaws; (ii) the organizational documents of the Company; (iii) any and all indemnification agreements entered into with the Company Group and included on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 xml:space="preserve"> of the Company Disclosure Schedule; or (iv) applicable Law (whether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 Other Claims</w:t>
      </w:r>
      <w:r>
        <w:rPr>
          <w:rFonts w:ascii="Times New Roman;Times;Serif" w:hAnsi="Times New Roman;Times;Serif"/>
          <w:b w:val="false"/>
          <w:i w:val="false"/>
          <w:caps w:val="false"/>
          <w:smallCaps w:val="false"/>
          <w:sz w:val="20"/>
        </w:rPr>
        <w:t xml:space="preserve">. Nothing in this Agreement is intended to, or will be construed to, release, waive or impair any rights to directors’ and officers’ insurance claims pursuant to any applicable insurance policy or indemnification agreement that is or has been in existence with respect to the Company Group for any of its directors, officers or other employees, it being understood and agreed that the indemnification provided for in this </w:t>
      </w:r>
      <w:r>
        <w:rPr>
          <w:rFonts w:ascii="Times New Roman;Times;Serif" w:hAnsi="Times New Roman;Times;Serif"/>
          <w:b w:val="false"/>
          <w:i w:val="false"/>
          <w:caps w:val="false"/>
          <w:smallCaps w:val="false"/>
          <w:sz w:val="20"/>
          <w:u w:val="single"/>
        </w:rPr>
        <w:t xml:space="preserve">Section 6.8 </w:t>
      </w:r>
      <w:r>
        <w:rPr>
          <w:rFonts w:ascii="Times New Roman;Times;Serif" w:hAnsi="Times New Roman;Times;Serif"/>
          <w:b w:val="false"/>
          <w:i w:val="false"/>
          <w:caps w:val="false"/>
          <w:smallCaps w:val="false"/>
          <w:sz w:val="20"/>
        </w:rPr>
        <w:t>is not prior to or in substitution for any such claims pursuant to such policies or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val="false"/>
          <w:i/>
          <w:caps w:val="false"/>
          <w:smallCaps w:val="false"/>
          <w:sz w:val="20"/>
        </w:rPr>
        <w:t>Notification of Certain Matters.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Notification by the Company</w:t>
      </w:r>
      <w:r>
        <w:rPr>
          <w:rFonts w:ascii="Times New Roman;Times;Serif" w:hAnsi="Times New Roman;Times;Serif"/>
          <w:b w:val="false"/>
          <w:i w:val="false"/>
          <w:caps w:val="false"/>
          <w:smallCaps w:val="false"/>
          <w:sz w:val="20"/>
        </w:rPr>
        <w:t xml:space="preserve">. During the Interim Period, and unless prohibited by Law, the Company will give prompt notice to Parent upon becoming aware (i) that any representation or warranty made by the Company in this Agreement has become untrue or inaccurate such that the condition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would not reasonably be expected to be satisfied at the Closing, (ii) of any failure of the Company to comply with any covenant or agreement to be complied with or satisfied by it under this Agreement such that the condition set forth in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would not reasonably be expected to be satisfied at the Closing, or (iii) of any Legal Proceeding commenced after the date of this Agreement or, to the Knowledge of the Company, threatened, or any Order, in each case, that relates to the transactions contemplated by this Agreement (including the Merger);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the Company’s obligations, actions or inactions pursuant to this sentence shall be deemed excluded for purposes of determining whether the condition set forth in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has been satisfied, unless such action or inaction is a Willful Breach;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no such notification will affect or be deemed to modify any representation or warranty of the Company set forth in this Agreement or the conditions to the obligations of the Buyer Parties to consummate the Merger or the remedies available to the parties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Notification by Parent</w:t>
      </w:r>
      <w:r>
        <w:rPr>
          <w:rFonts w:ascii="Times New Roman;Times;Serif" w:hAnsi="Times New Roman;Times;Serif"/>
          <w:b w:val="false"/>
          <w:i w:val="false"/>
          <w:caps w:val="false"/>
          <w:smallCaps w:val="false"/>
          <w:sz w:val="20"/>
        </w:rPr>
        <w:t xml:space="preserve">. During the Interim Period, and unless prohibited by Law, Parent will give prompt notice to the Company upon becoming aware: (i) that any representation or warranty made by the Buyer Parties in this Agreement has become untrue or inaccurate such that the condition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would not be satisfied; (ii) of any failure by the Buyer Parties to comply with or satisfy in any covenant or agreement to be complied with or satisfied by it under this Agreement such that the condition set forth in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xml:space="preserve"> would not be satisfied; or (iii) of any Legal Proceeding pending or, to the knowledge of Parent, threatened, or any Order, that relates to the transactions contemplated by this Agreement (including the Merger);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Parent’s obligations, actions or inactions pursuant to this sentence shall be deemed excluded for purposes of determining whether the condition set forth in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xml:space="preserve"> has been satisfied, unless such action or inaction is a Willful Breach;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no such notification shall affect or be deemed to modify any representation or warranty of the Buyer Parties set forth herein or the conditions to the obligations of the Company to consummate the transactions contemplated hereby, including the Merger, or the remedies available to the parties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During the Interim Period, and unless prohibited by Law, each party shall give prompt notice to the other party of any written notice or other written communication received by it or any of its Subsidiaries from any Person, subsequent to the date of this Agreement and prior to the Effective Time, alleging that the consent of such Person is or may be required in connection with the transactions contemplated by this Agreement (including the Merger);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each party’s obligations, actions or inactions pursuant to this sentence shall be deemed excluded for purposes of determining whether the conditions set forth in either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xml:space="preserve"> have been satisfied, unless such actions or inactions are a Willful Breach;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no such notification shall affect or be deemed to modify any representation or warranty set forth herein or the conditions to the obligations of any party to consummate the transactions contemplated hereby, including the Merger, or the remedies available to the parties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6.10. </w:t>
      </w:r>
      <w:r>
        <w:rPr>
          <w:rFonts w:ascii="Times New Roman;Times;Serif" w:hAnsi="Times New Roman;Times;Serif"/>
          <w:b w:val="false"/>
          <w:i/>
          <w:caps w:val="false"/>
          <w:smallCaps w:val="false"/>
          <w:sz w:val="20"/>
        </w:rPr>
        <w:t>Public Statements and Disclosure</w:t>
      </w:r>
      <w:r>
        <w:rPr>
          <w:rFonts w:ascii="Times New Roman;Times;Serif" w:hAnsi="Times New Roman;Times;Serif"/>
          <w:b w:val="false"/>
          <w:i w:val="false"/>
          <w:caps w:val="false"/>
          <w:smallCaps w:val="false"/>
          <w:sz w:val="20"/>
        </w:rPr>
        <w:t>. Until the Closing, the Company (other than with respect to the portion of any communication relating to a Company Board Recommendation Change) and the Buyer Parties will not: (a) participate in any media interviews; (b) engage in any meetings or calls with analysts, institutional investors or other similar Persons; or (c) provide any statements that are public or are reasonably likely to become public, in any such case to the extent relating to the Merger or the transactions contemplated by this Agreement. Without limiting the foregoing, the Company shall, by 9:00 a.m. Eastern Time, on the first (1st) Business Day immediately following the date of this Agreement, file with the SEC a Current Report on Form 8-K in form and substance as reasonably approved by Parent (which approval shall not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6.11. </w:t>
      </w:r>
      <w:r>
        <w:rPr>
          <w:rFonts w:ascii="Times New Roman;Times;Serif" w:hAnsi="Times New Roman;Times;Serif"/>
          <w:b w:val="false"/>
          <w:i/>
          <w:caps w:val="false"/>
          <w:smallCaps w:val="false"/>
          <w:sz w:val="20"/>
        </w:rPr>
        <w:t>New Litigation; Transaction Litigation</w:t>
      </w:r>
      <w:r>
        <w:rPr>
          <w:rFonts w:ascii="Times New Roman;Times;Serif" w:hAnsi="Times New Roman;Times;Serif"/>
          <w:b w:val="false"/>
          <w:i w:val="false"/>
          <w:caps w:val="false"/>
          <w:smallCaps w:val="false"/>
          <w:sz w:val="20"/>
        </w:rPr>
        <w:t>. Prior to the Effective Time, the Company shall: (i) notify Parent in writing as promptly as reasonably practicable after learning of any Legal Proceeding by any Person initiated against the Company or, to the Knowledge of the Company, threatened against the Company or any of their respective Representatives in their capacity as such (a “</w:t>
      </w:r>
      <w:r>
        <w:rPr>
          <w:rFonts w:ascii="Times New Roman;Times;Serif" w:hAnsi="Times New Roman;Times;Serif"/>
          <w:b/>
          <w:i w:val="false"/>
          <w:caps w:val="false"/>
          <w:smallCaps w:val="false"/>
          <w:sz w:val="20"/>
        </w:rPr>
        <w:t>New Litigation Claim</w:t>
      </w:r>
      <w:r>
        <w:rPr>
          <w:rFonts w:ascii="Times New Roman;Times;Serif" w:hAnsi="Times New Roman;Times;Serif"/>
          <w:b w:val="false"/>
          <w:i w:val="false"/>
          <w:caps w:val="false"/>
          <w:smallCaps w:val="false"/>
          <w:sz w:val="20"/>
        </w:rPr>
        <w:t>”); (ii) notify Parent of ongoing material developments in any New Litigation Claim and any Legal Proceeding that was existing prior to the date hereof; and (iii) consult in good faith with Parent regarding the conduct of the defense of any New Litigation Claim and any Legal Proceeding that was existing prior to the date hereof. With respect to any Transaction Litigation, the Company shall consult with Parent and give Parent the opportunity to participate in the defense and settlement of any such litigation, and no such settlement shall be agreed to without Parent’s prior written consent (such consent not to be unreasonably withheld, delayed or conditioned).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6.12. </w:t>
      </w:r>
      <w:r>
        <w:rPr>
          <w:rFonts w:ascii="Times New Roman;Times;Serif" w:hAnsi="Times New Roman;Times;Serif"/>
          <w:b w:val="false"/>
          <w:i/>
          <w:caps w:val="false"/>
          <w:smallCaps w:val="false"/>
          <w:sz w:val="20"/>
        </w:rPr>
        <w:t>OTC Delisting; Deregistration</w:t>
      </w:r>
      <w:r>
        <w:rPr>
          <w:rFonts w:ascii="Times New Roman;Times;Serif" w:hAnsi="Times New Roman;Times;Serif"/>
          <w:b w:val="false"/>
          <w:i w:val="false"/>
          <w:caps w:val="false"/>
          <w:smallCaps w:val="false"/>
          <w:sz w:val="20"/>
        </w:rPr>
        <w:t>. Prior to the Effective Time, the Parties will cooperate with each other and use its reasonable best efforts to take, or cause to be taken, all actions and do, or cause to be done, all things reasonably necessary, proper or advisable on its part pursuant to applicable Law to cause the delisting of the Company Common Stock from the OTC Markets Group Inc. as promptly as practicable after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6.13. </w:t>
      </w:r>
      <w:r>
        <w:rPr>
          <w:rFonts w:ascii="Times New Roman;Times;Serif" w:hAnsi="Times New Roman;Times;Serif"/>
          <w:b w:val="false"/>
          <w:i/>
          <w:caps w:val="false"/>
          <w:smallCaps w:val="false"/>
          <w:sz w:val="20"/>
        </w:rPr>
        <w:t>Additional Agreements</w:t>
      </w:r>
      <w:r>
        <w:rPr>
          <w:rFonts w:ascii="Times New Roman;Times;Serif" w:hAnsi="Times New Roman;Times;Serif"/>
          <w:b w:val="false"/>
          <w:i w:val="false"/>
          <w:caps w:val="false"/>
          <w:smallCaps w:val="false"/>
          <w:sz w:val="20"/>
        </w:rPr>
        <w:t>. If at any time after the Effective Time any further action is necessary or desirable to carry out the purposes of this Agreement or to vest the Surviving Corporation with full title to all properties, assets, rights, approvals, immunities and franchises of either of the Company or the Merger Sub (including without limitation, with respect to the Parent Acquisition Financing), then the proper officers and directors of each Party will use their reasonable best efforts to take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6.14. </w:t>
      </w:r>
      <w:r>
        <w:rPr>
          <w:rFonts w:ascii="Times New Roman;Times;Serif" w:hAnsi="Times New Roman;Times;Serif"/>
          <w:b w:val="false"/>
          <w:i/>
          <w:caps w:val="false"/>
          <w:smallCaps w:val="false"/>
          <w:sz w:val="20"/>
        </w:rPr>
        <w:t>No Control of the Other Party’s Business</w:t>
      </w:r>
      <w:r>
        <w:rPr>
          <w:rFonts w:ascii="Times New Roman;Times;Serif" w:hAnsi="Times New Roman;Times;Serif"/>
          <w:b w:val="false"/>
          <w:i w:val="false"/>
          <w:caps w:val="false"/>
          <w:smallCaps w:val="false"/>
          <w:sz w:val="20"/>
        </w:rPr>
        <w:t>. The Parties acknowledge and agree that the restrictions set forth in this Agreement are not intended to give the Buyer Parties, on the one hand, or the Company, on the other hand, directly or indirectly, the right to control or direct the business or operations of the other at any time prior to the Effective Time. Prior to the Effective Time, each of the Buyer Parties and the Company will exercise, consistent with the terms, conditions and restrictions of this Agreement, complete control and supervision over their own business and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6.15. </w:t>
      </w:r>
      <w:r>
        <w:rPr>
          <w:rFonts w:ascii="Times New Roman;Times;Serif" w:hAnsi="Times New Roman;Times;Serif"/>
          <w:b w:val="false"/>
          <w:i/>
          <w:caps w:val="false"/>
          <w:smallCaps w:val="false"/>
          <w:sz w:val="20"/>
        </w:rPr>
        <w:t>Rights Agreement</w:t>
      </w:r>
      <w:r>
        <w:rPr>
          <w:rFonts w:ascii="Times New Roman;Times;Serif" w:hAnsi="Times New Roman;Times;Serif"/>
          <w:b w:val="false"/>
          <w:i w:val="false"/>
          <w:caps w:val="false"/>
          <w:smallCaps w:val="false"/>
          <w:sz w:val="20"/>
        </w:rPr>
        <w:t>. Prior to the Effective Time, the Company shall take all actions necessary to (a) terminate that certain Rights Agreement, dated as of November 1, 2024 (the “</w:t>
      </w:r>
      <w:r>
        <w:rPr>
          <w:rFonts w:ascii="Times New Roman;Times;Serif" w:hAnsi="Times New Roman;Times;Serif"/>
          <w:b/>
          <w:i w:val="false"/>
          <w:caps w:val="false"/>
          <w:smallCaps w:val="false"/>
          <w:sz w:val="20"/>
        </w:rPr>
        <w:t>Rights Agreement</w:t>
      </w:r>
      <w:r>
        <w:rPr>
          <w:rFonts w:ascii="Times New Roman;Times;Serif" w:hAnsi="Times New Roman;Times;Serif"/>
          <w:b w:val="false"/>
          <w:i w:val="false"/>
          <w:caps w:val="false"/>
          <w:smallCaps w:val="false"/>
          <w:sz w:val="20"/>
        </w:rPr>
        <w:t>”), or (b) redeem, amend or otherwise render inapplicable all rights issued pursuant thereto (the “</w:t>
      </w:r>
      <w:r>
        <w:rPr>
          <w:rFonts w:ascii="Times New Roman;Times;Serif" w:hAnsi="Times New Roman;Times;Serif"/>
          <w:b/>
          <w:i w:val="false"/>
          <w:caps w:val="false"/>
          <w:smallCaps w:val="false"/>
          <w:sz w:val="20"/>
        </w:rPr>
        <w:t>Rights</w:t>
      </w:r>
      <w:r>
        <w:rPr>
          <w:rFonts w:ascii="Times New Roman;Times;Serif" w:hAnsi="Times New Roman;Times;Serif"/>
          <w:b w:val="false"/>
          <w:i w:val="false"/>
          <w:caps w:val="false"/>
          <w:smallCaps w:val="false"/>
          <w:sz w:val="20"/>
        </w:rPr>
        <w:t>”), in each case, so that neither the execution, delivery or performance of this Agreement nor the consummation of the Merger or any of the other transactions contemplated hereby will (i) cause the Rights to become exercisable, distributed or triggered, (ii) entitle any holder of Rights to purchase any shares of capital stock of the Company or any other Person, or (iii) result in any person becoming an “acquiring person” (or similar term) under such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6.16. </w:t>
      </w:r>
      <w:r>
        <w:rPr>
          <w:rFonts w:ascii="Times New Roman;Times;Serif" w:hAnsi="Times New Roman;Times;Serif"/>
          <w:b w:val="false"/>
          <w:i/>
          <w:caps w:val="false"/>
          <w:smallCaps w:val="false"/>
          <w:sz w:val="20"/>
        </w:rPr>
        <w:t>Required Notices and Consents Under Company Disclosure Schedule</w:t>
      </w:r>
      <w:r>
        <w:rPr>
          <w:rFonts w:ascii="Times New Roman;Times;Serif" w:hAnsi="Times New Roman;Times;Serif"/>
          <w:b w:val="false"/>
          <w:i w:val="false"/>
          <w:caps w:val="false"/>
          <w:smallCaps w:val="false"/>
          <w:sz w:val="20"/>
        </w:rPr>
        <w:t>. From and after the Closing, the Surviving Corporation shall deliver any notices to, and obtain any consents, approvals or waivers from, any third parties to the Company Material Contracts, in each case to the extent required pursuant to or identified in the Company Disclosure Schedule with respect to such Company Material Contracts and not obtained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6.17. </w:t>
      </w:r>
      <w:r>
        <w:rPr>
          <w:rFonts w:ascii="Times New Roman;Times;Serif" w:hAnsi="Times New Roman;Times;Serif"/>
          <w:b w:val="false"/>
          <w:i/>
          <w:caps w:val="false"/>
          <w:smallCaps w:val="false"/>
          <w:sz w:val="20"/>
        </w:rPr>
        <w:t>Financing; Loan Assumption.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Effective Time, the Buyer Parties will have received the Parent Acquisition Financing of up to $3,000,000, and all documentation, deliveries and other items required to be delivered under the definitive agreements governing such Parent Acquisition Financing, including, without limitation, any assumption agreements, assignments, certificates, representations and warranties and related deliverables required thereunder, in each case in form and substance reasonably satisfactory to the Buyer Parties. The Buyer Parties and the Company shall use their respective reasonable best efforts to cooperate and take such actions as may be reasonably necessary to cause the indebtedness comprising the Parent Acquisition Financing to be assumed by the Surviving Corporation as of the Closing or as promptly as practicable thereafter, including the execution and delivery of any assumption agreements, assignments, certificates, notices, consents and other documentation reasonably required by the applicable lender. The Parties shall reasonably cooperate with one another and the applicable lender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Following the Closing, the lender providing the Parent Acquisition Financing (or its designees) may provide up to an additional $2,000,000 of financing (the “Additional Financing”) to the Surviving Corporation on terms mutually agreed by the Buyer Parties and such lender. The Parties (including the Surviving Corporation) shall reasonably cooperate with one another and the applicable lender in connection with any such Additional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THE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caps w:val="false"/>
          <w:smallCaps w:val="false"/>
          <w:sz w:val="20"/>
        </w:rPr>
        <w:t>Conditions to Each Party’s Obligations to Effect the Merger</w:t>
      </w:r>
      <w:r>
        <w:rPr>
          <w:rFonts w:ascii="Times New Roman;Times;Serif" w:hAnsi="Times New Roman;Times;Serif"/>
          <w:b w:val="false"/>
          <w:i w:val="false"/>
          <w:caps w:val="false"/>
          <w:smallCaps w:val="false"/>
          <w:sz w:val="20"/>
        </w:rPr>
        <w:t>. The respective obligations of the Buyer Parties and the Company to consummate the Merger are subject to the satisfaction or waiver (where permissible pursuant to applicable Law)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Requisite Stockholder Approvals</w:t>
      </w:r>
      <w:r>
        <w:rPr>
          <w:rFonts w:ascii="Times New Roman;Times;Serif" w:hAnsi="Times New Roman;Times;Serif"/>
          <w:b w:val="false"/>
          <w:i w:val="false"/>
          <w:caps w:val="false"/>
          <w:smallCaps w:val="false"/>
          <w:sz w:val="20"/>
        </w:rPr>
        <w:t>. The Company shall have received (i) the Requisite Stockholder Approvals at the Stockholder Meeting and (ii) the approval of the Merger by holders of a majority of the shares voting at the Stockholder Meeting, excluding shares held by the Investor, but including shares held by the officers and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No Prohibitive Laws or Injunctions</w:t>
      </w:r>
      <w:r>
        <w:rPr>
          <w:rFonts w:ascii="Times New Roman;Times;Serif" w:hAnsi="Times New Roman;Times;Serif"/>
          <w:b w:val="false"/>
          <w:i w:val="false"/>
          <w:caps w:val="false"/>
          <w:smallCaps w:val="false"/>
          <w:sz w:val="20"/>
        </w:rPr>
        <w:t>. No Governmental Authority of competent jurisdiction shall have (i) enacted, issued, promulgated, entered, enforced or deemed applicable to the Merger any applicable Law or (ii) issued or granted any Order (whether temporary, preliminary or permanent), in each case, that is in effect and has the effect of making the Merger illegal in any jurisdiction or which has the effect of prohibiting or otherwise preventing, restricting or enjoining the consummation of the Merger in any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 Third Party Consents</w:t>
      </w:r>
      <w:r>
        <w:rPr>
          <w:rFonts w:ascii="Times New Roman;Times;Serif" w:hAnsi="Times New Roman;Times;Serif"/>
          <w:b w:val="false"/>
          <w:i w:val="false"/>
          <w:caps w:val="false"/>
          <w:smallCaps w:val="false"/>
          <w:sz w:val="20"/>
        </w:rPr>
        <w:t>. The Parties shall have received executed consents in form and substance reasonably acceptable to the Parties from the third parties listed on Disclosure Schedule 7.1(c).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caps w:val="false"/>
          <w:smallCaps w:val="false"/>
          <w:sz w:val="20"/>
        </w:rPr>
        <w:t>Conditions to the Obligations of the Buyer Parties</w:t>
      </w:r>
      <w:r>
        <w:rPr>
          <w:rFonts w:ascii="Times New Roman;Times;Serif" w:hAnsi="Times New Roman;Times;Serif"/>
          <w:b w:val="false"/>
          <w:i w:val="false"/>
          <w:caps w:val="false"/>
          <w:smallCaps w:val="false"/>
          <w:sz w:val="20"/>
        </w:rPr>
        <w:t>. The obligations of the Buyer Parties to consummate the Merger will be subject to the satisfaction or waiver (where permissible pursuant to applicable Law) of each of the following conditions, any of which may be waived exclusively by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representations and warranties of the Company set forth in this Agreement (other than the representations and warranties listed in </w:t>
      </w:r>
      <w:r>
        <w:rPr>
          <w:rFonts w:ascii="Times New Roman;Times;Serif" w:hAnsi="Times New Roman;Times;Serif"/>
          <w:b w:val="false"/>
          <w:i w:val="false"/>
          <w:caps w:val="false"/>
          <w:smallCaps w:val="false"/>
          <w:sz w:val="20"/>
          <w:u w:val="single"/>
        </w:rPr>
        <w:t>Section 7.2(a)(ii)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7.2(a)(iii)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7.2(a)(iv)</w:t>
      </w:r>
      <w:r>
        <w:rPr>
          <w:rFonts w:ascii="Times New Roman;Times;Serif" w:hAnsi="Times New Roman;Times;Serif"/>
          <w:b w:val="false"/>
          <w:i w:val="false"/>
          <w:caps w:val="false"/>
          <w:smallCaps w:val="false"/>
          <w:sz w:val="20"/>
        </w:rPr>
        <w:t>) shall be true and correct (disregarding all qualifications or limitations as to “materiality”, “Company Material Adverse Effect” and words of similar import set forth therein) in all respects as of the date of this Agreement and as of the Closing Date as if made at and as of the Closing Date (except to the extent that any such representation and warranty expressly speaks as of an earlier date, in which case such representation and warranty will be so true and correct in all respects as of such earlier date), except for such failures to be true and correct that, individually or in the aggregate, would not have, and would not reasonably be expected to have,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representations and warranties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(Corporate Organization), </w:t>
      </w:r>
      <w:r>
        <w:rPr>
          <w:rFonts w:ascii="Times New Roman;Times;Serif" w:hAnsi="Times New Roman;Times;Serif"/>
          <w:b w:val="false"/>
          <w:i w:val="false"/>
          <w:caps w:val="false"/>
          <w:smallCaps w:val="false"/>
          <w:sz w:val="20"/>
          <w:u w:val="single"/>
        </w:rPr>
        <w:t xml:space="preserve">Section 3.3 </w:t>
      </w:r>
      <w:r>
        <w:rPr>
          <w:rFonts w:ascii="Times New Roman;Times;Serif" w:hAnsi="Times New Roman;Times;Serif"/>
          <w:b w:val="false"/>
          <w:i w:val="false"/>
          <w:caps w:val="false"/>
          <w:smallCaps w:val="false"/>
          <w:sz w:val="20"/>
        </w:rPr>
        <w:t xml:space="preserve">(Authority, Execution and Delivery; Enforceability), </w:t>
      </w:r>
      <w:r>
        <w:rPr>
          <w:rFonts w:ascii="Times New Roman;Times;Serif" w:hAnsi="Times New Roman;Times;Serif"/>
          <w:b w:val="false"/>
          <w:i w:val="false"/>
          <w:caps w:val="false"/>
          <w:smallCaps w:val="false"/>
          <w:sz w:val="20"/>
          <w:u w:val="single"/>
        </w:rPr>
        <w:t>Section 3.18</w:t>
      </w:r>
      <w:r>
        <w:rPr>
          <w:rFonts w:ascii="Times New Roman;Times;Serif" w:hAnsi="Times New Roman;Times;Serif"/>
          <w:b w:val="false"/>
          <w:i w:val="false"/>
          <w:caps w:val="false"/>
          <w:smallCaps w:val="false"/>
          <w:sz w:val="20"/>
        </w:rPr>
        <w:t xml:space="preserve"> (Broker’s Fees) and </w:t>
      </w:r>
      <w:r>
        <w:rPr>
          <w:rFonts w:ascii="Times New Roman;Times;Serif" w:hAnsi="Times New Roman;Times;Serif"/>
          <w:b w:val="false"/>
          <w:i w:val="false"/>
          <w:caps w:val="false"/>
          <w:smallCaps w:val="false"/>
          <w:sz w:val="20"/>
          <w:u w:val="single"/>
        </w:rPr>
        <w:t xml:space="preserve">Section 3.19 </w:t>
      </w:r>
      <w:r>
        <w:rPr>
          <w:rFonts w:ascii="Times New Roman;Times;Serif" w:hAnsi="Times New Roman;Times;Serif"/>
          <w:b w:val="false"/>
          <w:i w:val="false"/>
          <w:caps w:val="false"/>
          <w:smallCaps w:val="false"/>
          <w:sz w:val="20"/>
        </w:rPr>
        <w:t>(Opinion of Financial Advisor) shall be true and correct (disregarding all qualifications or limitations as to “materiality”, “Company Material Adverse Effect” and words of similar import set forth therein) in all material respects as of the date of this Agreement and as of the Closing Date as if made at and as of the Closing Date (except to the extent that any such representation and warranty expressly speaks as of an earlier date, in which case such representation and warranty will be so true and correct in all material respects as of such earlier date);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representations and warranties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(Capitalization) shall be true and correct in all respects as of the date of this Agreement and as of the Closing Date as if made on and as of such date, except for any </w:t>
      </w:r>
      <w:r>
        <w:rPr>
          <w:rFonts w:ascii="Times New Roman;Times;Serif" w:hAnsi="Times New Roman;Times;Serif"/>
          <w:b w:val="false"/>
          <w:i/>
          <w:caps w:val="false"/>
          <w:smallCaps w:val="false"/>
          <w:sz w:val="20"/>
        </w:rPr>
        <w:t xml:space="preserve">de minimis </w:t>
      </w:r>
      <w:r>
        <w:rPr>
          <w:rFonts w:ascii="Times New Roman;Times;Serif" w:hAnsi="Times New Roman;Times;Serif"/>
          <w:b w:val="false"/>
          <w:i w:val="false"/>
          <w:caps w:val="false"/>
          <w:smallCaps w:val="false"/>
          <w:sz w:val="20"/>
        </w:rPr>
        <w:t xml:space="preserve">inaccuracies (except to the extent that any such representation and warranty expressly speaks as of an earlier date, in which case such representation and warranty will be true and correct in all respects as of such earlier date, except for any </w:t>
      </w:r>
      <w:r>
        <w:rPr>
          <w:rFonts w:ascii="Times New Roman;Times;Serif" w:hAnsi="Times New Roman;Times;Serif"/>
          <w:b w:val="false"/>
          <w:i/>
          <w:caps w:val="false"/>
          <w:smallCaps w:val="false"/>
          <w:sz w:val="20"/>
        </w:rPr>
        <w:t xml:space="preserve">de minimis </w:t>
      </w:r>
      <w:r>
        <w:rPr>
          <w:rFonts w:ascii="Times New Roman;Times;Serif" w:hAnsi="Times New Roman;Times;Serif"/>
          <w:b w:val="false"/>
          <w:i w:val="false"/>
          <w:caps w:val="false"/>
          <w:smallCaps w:val="false"/>
          <w:sz w:val="20"/>
        </w:rPr>
        <w:t>inaccuracies);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representations and warranties set forth in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(Absence of Certain Changes or Events) shall be true and correct in all respects as of the date of this Agreement and as of the Closing Date as if made on and as of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Performance of Obligations of the Company</w:t>
      </w:r>
      <w:r>
        <w:rPr>
          <w:rFonts w:ascii="Times New Roman;Times;Serif" w:hAnsi="Times New Roman;Times;Serif"/>
          <w:b w:val="false"/>
          <w:i w:val="false"/>
          <w:caps w:val="false"/>
          <w:smallCaps w:val="false"/>
          <w:sz w:val="20"/>
        </w:rPr>
        <w:t>. The Company shall have performed and complied in all material respects with all of its covenants and obligations contained in this Agreement that are required to be performed and complied with by it at or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Company Material Adverse Effect</w:t>
      </w:r>
      <w:r>
        <w:rPr>
          <w:rFonts w:ascii="Times New Roman;Times;Serif" w:hAnsi="Times New Roman;Times;Serif"/>
          <w:b w:val="false"/>
          <w:i w:val="false"/>
          <w:caps w:val="false"/>
          <w:smallCaps w:val="false"/>
          <w:sz w:val="20"/>
        </w:rPr>
        <w:t>. No Company Material Adverse Effect shall have occurred following the execution and delivery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Termination of Related Party Agreements</w:t>
      </w:r>
      <w:r>
        <w:rPr>
          <w:rFonts w:ascii="Times New Roman;Times;Serif" w:hAnsi="Times New Roman;Times;Serif"/>
          <w:b w:val="false"/>
          <w:i w:val="false"/>
          <w:caps w:val="false"/>
          <w:smallCaps w:val="false"/>
          <w:sz w:val="20"/>
        </w:rPr>
        <w:t>. Parent shall have received executed termination agreements with respect to the Contracts listed on Disclosure Schedule 7.2(d), in form and substance reasonably satisfactory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 Waiver of Certain Compensation and Benefits</w:t>
      </w:r>
      <w:r>
        <w:rPr>
          <w:rFonts w:ascii="Times New Roman;Times;Serif" w:hAnsi="Times New Roman;Times;Serif"/>
          <w:b w:val="false"/>
          <w:i w:val="false"/>
          <w:caps w:val="false"/>
          <w:smallCaps w:val="false"/>
          <w:sz w:val="20"/>
        </w:rPr>
        <w:t>. Except as set forth on Disclosure Schedule 7.2(e), executive officers of the Company do not have any agreements including change in control or transaction bonuses, retention bonuses, severance benefits, or annualized base cash compensation, in each case, payable to such executive officer in connection with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 Absence of Insolvency Event</w:t>
      </w:r>
      <w:r>
        <w:rPr>
          <w:rFonts w:ascii="Times New Roman;Times;Serif" w:hAnsi="Times New Roman;Times;Serif"/>
          <w:b w:val="false"/>
          <w:i w:val="false"/>
          <w:caps w:val="false"/>
          <w:smallCaps w:val="false"/>
          <w:sz w:val="20"/>
        </w:rPr>
        <w:t>. No Insolvency Event shall have occurred following the execution and delivery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 Redemption, Cancellation or Amendment of Series C Preferred Stock</w:t>
      </w:r>
      <w:r>
        <w:rPr>
          <w:rFonts w:ascii="Times New Roman;Times;Serif" w:hAnsi="Times New Roman;Times;Serif"/>
          <w:b w:val="false"/>
          <w:i w:val="false"/>
          <w:caps w:val="false"/>
          <w:smallCaps w:val="false"/>
          <w:sz w:val="20"/>
        </w:rPr>
        <w:t>. Prior to the Closing, either (i) all outstanding shares of Series C Preferred Stock shall have been redeemed, cancelled or otherwise terminated effective no later than immediately prior to the Effective Time; or (ii) the Company shall have filed with the Secretary of State of the State of Nevada an amendment to the Certificate of Designation of the Series C Preferred Stock, in form and substance reasonably satisfactory to Parent, which amendment shall have been duly adopted by the Company and the requisite holders of Series C Preferred Stock in accordance with applicable Law and the Company’s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 Termination of Rights Agreement</w:t>
      </w:r>
      <w:r>
        <w:rPr>
          <w:rFonts w:ascii="Times New Roman;Times;Serif" w:hAnsi="Times New Roman;Times;Serif"/>
          <w:b w:val="false"/>
          <w:i w:val="false"/>
          <w:caps w:val="false"/>
          <w:smallCaps w:val="false"/>
          <w:sz w:val="20"/>
        </w:rPr>
        <w:t>. Prior to the Effective Time, the Company shall have terminated that certain Rights Agreement, dated as of November 1, 2024, and no rights shall remain outstanding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 Company Warrants</w:t>
      </w:r>
      <w:r>
        <w:rPr>
          <w:rFonts w:ascii="Times New Roman;Times;Serif" w:hAnsi="Times New Roman;Times;Serif"/>
          <w:b w:val="false"/>
          <w:i w:val="false"/>
          <w:caps w:val="false"/>
          <w:smallCaps w:val="false"/>
          <w:sz w:val="20"/>
        </w:rPr>
        <w:t>. Prior to the Effective Time, all outstanding Company Warrants shall have been exercised, duly redeemed, cancelled or otherwise terminated, and the Company shall have provided the Buyer Parties with reasonably satisfactory evidence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 Officer’s Certificate</w:t>
      </w:r>
      <w:r>
        <w:rPr>
          <w:rFonts w:ascii="Times New Roman;Times;Serif" w:hAnsi="Times New Roman;Times;Serif"/>
          <w:b w:val="false"/>
          <w:i w:val="false"/>
          <w:caps w:val="false"/>
          <w:smallCaps w:val="false"/>
          <w:sz w:val="20"/>
        </w:rPr>
        <w:t xml:space="preserve">. The Buyer Parties shall have received a certificate of the Company dated as of the Closing Date, validly executed by a duly authorized executive officer thereof, certifying that the conditions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7.2(c)</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(k). FIRPTA</w:t>
      </w:r>
      <w:r>
        <w:rPr>
          <w:rFonts w:ascii="Times New Roman;Times;Serif" w:hAnsi="Times New Roman;Times;Serif"/>
          <w:b w:val="false"/>
          <w:i w:val="false"/>
          <w:caps w:val="false"/>
          <w:smallCaps w:val="false"/>
          <w:sz w:val="20"/>
        </w:rPr>
        <w:t>. The Buyer Parties shall have received a certificate of the Company dated no more than 30 days prior to the Closing Date and signed by a responsible corporate officer of the Company under penalties of perjury, prepared in a manner reasonably satisfactory to Parent and that is consistent and in accordance with the requirements of Treasury Regulations Sections 1.897-2(g), (h) and 1.1445-2(c), certifying that no interest in the Company is, or has been during the relevant period specified in Section 897(c)(1)(A)(ii) of the Code, a “United States real property interest” within the meaning of Section 897(c) of the Code, and a form of notice to the IRS prepared in a manner reasonably satisfactory to Parent and in accordance with the provisions of Treasury Regulation Section 1.897-2(h)(2).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 Dissenting Shareholders</w:t>
      </w:r>
      <w:r>
        <w:rPr>
          <w:rFonts w:ascii="Times New Roman;Times;Serif" w:hAnsi="Times New Roman;Times;Serif"/>
          <w:b w:val="false"/>
          <w:i w:val="false"/>
          <w:caps w:val="false"/>
          <w:smallCaps w:val="false"/>
          <w:sz w:val="20"/>
        </w:rPr>
        <w:t>. Holders of no more than 1% of the outstanding shares of Company Common Stock as of immediately prior to the Effective Time, in the aggregate, shall have exercised, or remain entitled to exercise, statutory dissenters’ rights pursuant to the NRS with respect to such shares of Company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caps w:val="false"/>
          <w:smallCaps w:val="false"/>
          <w:sz w:val="20"/>
        </w:rPr>
        <w:t>Conditions to the Obligations of the Company to Effect the Merger</w:t>
      </w:r>
      <w:r>
        <w:rPr>
          <w:rFonts w:ascii="Times New Roman;Times;Serif" w:hAnsi="Times New Roman;Times;Serif"/>
          <w:b w:val="false"/>
          <w:i w:val="false"/>
          <w:caps w:val="false"/>
          <w:smallCaps w:val="false"/>
          <w:sz w:val="20"/>
        </w:rPr>
        <w:t>. The obligations of the Company to consummate the Merger are subject to the satisfaction or waiver (where permissible pursuant to applicable Law) of each of the following conditions, any of which may be waived exclusively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Representations and Warranties</w:t>
      </w:r>
      <w:r>
        <w:rPr>
          <w:rFonts w:ascii="Times New Roman;Times;Serif" w:hAnsi="Times New Roman;Times;Serif"/>
          <w:b w:val="false"/>
          <w:i w:val="false"/>
          <w:caps w:val="false"/>
          <w:smallCaps w:val="false"/>
          <w:sz w:val="20"/>
        </w:rPr>
        <w:t>. The representations and warranties of the Buyer Parties set forth in this Agreement shall be true and correct (disregarding all qualifications or limitations as to “materiality”, “Parent Material Adverse Effect” and words of similar import set forth therein) as of the date of this Agreement and as of the Closing Date (except to the extent that any such representation and warranty expressly speaks as of an earlier date, in which case such representation and warranty will be so true and correct in all respects as of such earlier date) as if made on and as of such date, except for any failure to be so true and correct that would not, individually or in the aggregate, prevent or materially delay the consummation of the Merger or the ability of the Buyer Parties to fully perform their respective covenants and obligations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Performance of Obligations of the Buyer Parties</w:t>
      </w:r>
      <w:r>
        <w:rPr>
          <w:rFonts w:ascii="Times New Roman;Times;Serif" w:hAnsi="Times New Roman;Times;Serif"/>
          <w:b w:val="false"/>
          <w:i w:val="false"/>
          <w:caps w:val="false"/>
          <w:smallCaps w:val="false"/>
          <w:sz w:val="20"/>
        </w:rPr>
        <w:t>. The Buyer Parties will have performed and complied in all material respects with all of their respective covenants and obligations contained in this Agreement that are required to be performed and complied with by the Buyer Parties at or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 Expenses</w:t>
      </w:r>
      <w:r>
        <w:rPr>
          <w:rFonts w:ascii="Times New Roman;Times;Serif" w:hAnsi="Times New Roman;Times;Serif"/>
          <w:b w:val="false"/>
          <w:i w:val="false"/>
          <w:caps w:val="false"/>
          <w:smallCaps w:val="false"/>
          <w:sz w:val="20"/>
        </w:rPr>
        <w:t>. The Buyer Parties shall have delivered cash to the Company in an amount equal to $1,500,000 for purposes of paying the Company’s expenses in connection with the Merger, including cancellation of the Company Warrants, legal fees, the opinion of the Company Financial Advisor and other expenses incurred in connection with the transactions contemplated hereby, by wire transfer of immediately available funds to the account designated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 Officer’s Certificate</w:t>
      </w:r>
      <w:r>
        <w:rPr>
          <w:rFonts w:ascii="Times New Roman;Times;Serif" w:hAnsi="Times New Roman;Times;Serif"/>
          <w:b w:val="false"/>
          <w:i w:val="false"/>
          <w:caps w:val="false"/>
          <w:smallCaps w:val="false"/>
          <w:sz w:val="20"/>
        </w:rPr>
        <w:t xml:space="preserve">. The Company will have received a certificate of the Buyer Parties dated as of the Closing Date, validly executed for and on behalf of the Buyer Parties and in the respective names of the Buyer Parties by a duly authorized officer thereof, certifying that the conditions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Section 7.3(b) </w:t>
      </w:r>
      <w:r>
        <w:rPr>
          <w:rFonts w:ascii="Times New Roman;Times;Serif" w:hAnsi="Times New Roman;Times;Serif"/>
          <w:b w:val="false"/>
          <w:i w:val="false"/>
          <w:caps w:val="false"/>
          <w:smallCaps w:val="false"/>
          <w:sz w:val="20"/>
        </w:rPr>
        <w:t>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This Agreement may be validly terminated and the Merger may be abandoned only as follows (it being understood and agreed that this Agreement may not be terminated for any other reason or on any other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prior to the Closing (whether prior to or after the receipt of the Requisite Stockholder Approvals) by mutual written agreement of Parent (on behalf of the Buyer Parties)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either Parent (on behalf of the Buyer Parties) or the Company, at any time prior to the Closing (whether prior to or after the receipt of the Requisite Stockholder Approvals) if (i) any Order issued by any Governmental Authority of competent jurisdiction is in effect that prohibits, makes illegal or enjoins the consummation of the Merger and has become final and non-appealable; or (ii) any Law shall have been enacted, entered, enforced or deemed applicable to the Merger that permanently prohibits, makes illegal or enjoins the consummation of the Merger, except that the right to terminate this Agreement pursuant to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will not be available to any Party whose action or failure to act (which action or failure to act constitutes a breach by such Party of this Agreement) has been a principal cause of, or resulted in, such Order (or such Order becoming final and non-appealable);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either Parent (on behalf of the Buyer Parties) or the Company, at any time prior to the Closing (whether prior to or after the receipt of the Requisite Stockholder Approvals) if the Closing has not occurred by 11:59 p.m. (Eastern Time) on December 31, 2026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right to terminate this Agreement pursuant to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will not be available to any Party whose action or failure to act (which action or failure to act constitutes a breach by such Party of this Agreement) has been a principal cause of, or resulted in the failure of the Closing to have occurred prior to the Termination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either Parent (on behalf of the Buyer Parties) or the Company, at any time prior to the Closing if the Company fails to obtain the Requisite Stockholder Approvals at the Stockholder Meeting (or any adjournment or postponement thereof) at which a vote is taken on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Parent (on behalf of the Buyer Parties) (whether prior to or after the receipt of the Requisite Stockholder Approvals), if the Company has breached or failed to perform any of its representations, warranties, covenants or other agreements contained in this Agreement, which breach or failure to perform would result in a failure of a condition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except that if such breach or failure to perform is capable of being cured by the Termination Date, Parent will not be entitled to terminate this Agreement pursuant to this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prior to the delivery by Parent to the Company of written notice of such breach, delivered at least 10 calendar days prior to such termination (or such shorter period of time as remains prior to the Termination Date), stating Parent’s intention to terminate this Agreement pursuant to this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and the basis for such termination, it being understood that Parent will not be entitled to terminate this Agreement if such breach or failure to perform has been cured within such 10 calendar day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(j). </w:t>
      </w:r>
      <w:r>
        <w:rPr>
          <w:rFonts w:ascii="Times New Roman;Times;Serif" w:hAnsi="Times New Roman;Times;Serif"/>
          <w:b w:val="false"/>
          <w:i w:val="false"/>
          <w:caps w:val="false"/>
          <w:smallCaps w:val="false"/>
          <w:sz w:val="20"/>
        </w:rPr>
        <w:t xml:space="preserve">by Parent (on behalf of the Buyer Parties), if at any time, (i) the Company Board (or a committee thereof) has effected a Company Board Recommendation Change or (ii) the Company shall have materially breached any of its obligations under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(k). </w:t>
      </w:r>
      <w:r>
        <w:rPr>
          <w:rFonts w:ascii="Times New Roman;Times;Serif" w:hAnsi="Times New Roman;Times;Serif"/>
          <w:b w:val="false"/>
          <w:i w:val="false"/>
          <w:caps w:val="false"/>
          <w:smallCaps w:val="false"/>
          <w:sz w:val="20"/>
        </w:rPr>
        <w:t xml:space="preserve">by the Company (whether prior to or after the receipt of the Requisite Stockholder Approvals), if any of the Buyer Parties have breached or failed to perform any of its respective representations, warranties, covenants or other agreements contained in this Agreement, which breach or failure to perform would result in a failure of a condition set forth in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except that if such breach or failure to perform is capable of being cured by the Termination Date, the Company will not be entitled to terminate this Agreement pursuant to this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prior to the delivery by the Company to Parent of written notice of such breach, delivered at least 10 calendar days prior to such termination (or such shorter period of time as remains prior to the Termination Date), stating the Company’s intention to terminate this Agreement pursuant to this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and the basis for such termination, it being understood that the Company will not be entitled to terminate this Agreement if such breach or failure to perform has been cured within such 10 calendar day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 </w:t>
      </w:r>
      <w:r>
        <w:rPr>
          <w:rFonts w:ascii="Times New Roman;Times;Serif" w:hAnsi="Times New Roman;Times;Serif"/>
          <w:b w:val="false"/>
          <w:i w:val="false"/>
          <w:caps w:val="false"/>
          <w:smallCaps w:val="false"/>
          <w:sz w:val="20"/>
        </w:rPr>
        <w:t xml:space="preserve">by the Company, at any time prior to receiving the Requisite Stockholder Approvals if: (i) the Company has received a Superior Proposal; (ii) the Company Board has authorized the Company to enter into a definitive Alternative Acquisition Agreement to consummate the Acquisition Transaction contemplated by that Superior Proposal; (iii) the Company has complied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with respect to such Superior Proposal; and (iv) concurrently with such termination the Company enters into an Alternative Acquisition Agreement and the Company pays the Termination Fee due to Parent in accordance with </w:t>
      </w:r>
      <w:r>
        <w:rPr>
          <w:rFonts w:ascii="Times New Roman;Times;Serif" w:hAnsi="Times New Roman;Times;Serif"/>
          <w:b w:val="false"/>
          <w:i w:val="false"/>
          <w:caps w:val="false"/>
          <w:smallCaps w:val="false"/>
          <w:sz w:val="20"/>
          <w:u w:val="single"/>
        </w:rPr>
        <w:t>Section 8.2(c)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 </w:t>
      </w:r>
      <w:r>
        <w:rPr>
          <w:rFonts w:ascii="Times New Roman;Times;Serif" w:hAnsi="Times New Roman;Times;Serif"/>
          <w:b w:val="false"/>
          <w:i w:val="false"/>
          <w:caps w:val="false"/>
          <w:smallCaps w:val="false"/>
          <w:sz w:val="20"/>
        </w:rPr>
        <w:t>by Parent (on behalf of the Buyer Parties), if at any time following the execution of this Agreement, an Insolvency Event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caps w:val="false"/>
          <w:smallCaps w:val="false"/>
          <w:sz w:val="20"/>
        </w:rPr>
        <w:t>Manner and Notice of Termination; Effect of Termination;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Manner of Termination</w:t>
      </w:r>
      <w:r>
        <w:rPr>
          <w:rFonts w:ascii="Times New Roman;Times;Serif" w:hAnsi="Times New Roman;Times;Serif"/>
          <w:b w:val="false"/>
          <w:i w:val="false"/>
          <w:caps w:val="false"/>
          <w:smallCaps w:val="false"/>
          <w:sz w:val="20"/>
        </w:rPr>
        <w:t xml:space="preserve">. The Party terminating this Agreement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(other than pursuant to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must deliver prompt written notice thereof to the other Parties setting forth in reasonable detail the provision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pursuant to which this Agreement is being terminated and the facts and circumstances forming the basis for such termination pursuant to such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Effect of Termination</w:t>
      </w:r>
      <w:r>
        <w:rPr>
          <w:rFonts w:ascii="Times New Roman;Times;Serif" w:hAnsi="Times New Roman;Times;Serif"/>
          <w:b w:val="false"/>
          <w:i w:val="false"/>
          <w:caps w:val="false"/>
          <w:smallCaps w:val="false"/>
          <w:sz w:val="20"/>
        </w:rPr>
        <w:t xml:space="preserve">. Any proper and valid termination of this Agreement pursuant to Section 8.1 will be effective immediately upon the delivery of written notice by the terminating Party to the other Parties. In the event of the termination of this Agreement pursuant to Section 8.1, this Agreement will be of no further force or effect without liability of any Party (or any Affiliate of such Party or any partner, member, manager, stockholder or Representative of the foregoing) to the other Parties, as applicable, except that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will each survive the termination of this Agreement in accordance with their respective terms. Notwithstanding the previous sentence, nothing in this Agreement will relieve any Party or other Person from any liability for any Willful Breach or Fraud. No valid termination of this Agreement will affect the rights or obligations of any Party or other Person pursuant to the Confidentiality Agreement, which rights, obligations and agreements will survive the valid termination of this Agreement in accordance with their respective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 Company Termination Fee</w:t>
      </w:r>
      <w:r>
        <w:rPr>
          <w:rFonts w:ascii="Times New Roman;Times;Serif" w:hAnsi="Times New Roman;Times;Serif"/>
          <w:b w:val="false"/>
          <w:i w:val="false"/>
          <w:caps w:val="false"/>
          <w:smallCaps w:val="false"/>
          <w:sz w:val="20"/>
        </w:rPr>
        <w:t xml:space="preserve">. If this Agreement is validly terminated pursuant to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then the Company shall, within two Business Days following such termination, pay or cause to be paid to Parent or its designee, the Termination Fee, by wire transfer of immediately available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 Single Payment Only; Liquidated Damages</w:t>
      </w:r>
      <w:r>
        <w:rPr>
          <w:rFonts w:ascii="Times New Roman;Times;Serif" w:hAnsi="Times New Roman;Times;Serif"/>
          <w:b w:val="false"/>
          <w:i w:val="false"/>
          <w:caps w:val="false"/>
          <w:smallCaps w:val="false"/>
          <w:sz w:val="20"/>
        </w:rPr>
        <w:t xml:space="preserve">. The Parties acknowledge and agree that in no event will the Company be required to pay the Termination Fee on more than one occasion, whether or not such Termination Fee, as applicable, may be payable pursuant to more than one provision of this Agreement at the same or at different times and upon the occurrence of different events. The Parties acknowledge and agree that: (i) the agreements contained in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are an integral part of the transactions contemplated by this Agreement; (ii) the damages resulting from the termination of this Agreement under circumstances where any Termination Fee is payable are uncertain and incapable of accurate calculation; and (iii) without these agreements, the Parties would not enter into this Agreement. Therefore, Termination Fee, if, as, and when required to be paid pursuant to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will not constitute a penalty but rather liquidated damages in a reasonable amount that will compensate the Party receiving such amount in the circumstances in which it is payable for the efforts and resources expended and opportunities foregone while negotiating this Agreement and in reliance on this Agreement and on the expectation of the consummation of the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 Payments; Default</w:t>
      </w:r>
      <w:r>
        <w:rPr>
          <w:rFonts w:ascii="Times New Roman;Times;Serif" w:hAnsi="Times New Roman;Times;Serif"/>
          <w:b w:val="false"/>
          <w:i w:val="false"/>
          <w:caps w:val="false"/>
          <w:smallCaps w:val="false"/>
          <w:sz w:val="20"/>
        </w:rPr>
        <w:t>. If the Company fails to promptly pay the Termination Fee when payable under this Agreement, and Parent and/or Merger Sub commences a Legal Proceeding which results in a final, non-appealable judgment, then the non-prevailing party shall pay the prevailing party its reasonable out-of-pocket costs and expenses (including reasonable attorneys’ fees and disbursements) in connection with such Legal Proceeding, and, if Parent is awarded the Termination Fee, then the Company shall pay interest on such Termination Fee at the “prime rate” as published in The Wall Street Journal, Eastern Edition, in effect on the date such payment was required to be made through the date the payment was actually received (calculated daily on the basis of a year of 365 days and the actual number of days elapsed, without compounding).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 Acknowledgement Regarding Specific Performance</w:t>
      </w:r>
      <w:r>
        <w:rPr>
          <w:rFonts w:ascii="Times New Roman;Times;Serif" w:hAnsi="Times New Roman;Times;Serif"/>
          <w:b w:val="false"/>
          <w:i w:val="false"/>
          <w:caps w:val="false"/>
          <w:smallCaps w:val="false"/>
          <w:sz w:val="20"/>
        </w:rPr>
        <w:t xml:space="preserve">. Notwithstanding anything to the contrary in this Agreement or the availability of monetary damages, it is agreed that the Buyer Parties and the Company will be entitled to an injunction, specific performance or other equitable relief as provided in </w:t>
      </w:r>
      <w:r>
        <w:rPr>
          <w:rFonts w:ascii="Times New Roman;Times;Serif" w:hAnsi="Times New Roman;Times;Serif"/>
          <w:b w:val="false"/>
          <w:i w:val="false"/>
          <w:caps w:val="false"/>
          <w:smallCaps w:val="false"/>
          <w:sz w:val="20"/>
          <w:u w:val="single"/>
        </w:rPr>
        <w:t>Section 9.10(b)</w:t>
      </w:r>
      <w:r>
        <w:rPr>
          <w:rFonts w:ascii="Times New Roman;Times;Serif" w:hAnsi="Times New Roman;Times;Serif"/>
          <w:b w:val="false"/>
          <w:i w:val="false"/>
          <w:caps w:val="false"/>
          <w:smallCaps w:val="false"/>
          <w:sz w:val="20"/>
        </w:rPr>
        <w:t xml:space="preserve">, except that, although a Party, in its sole discretion, may determine its choice of remedies hereunder, including by pursuing specific performance in accordance with, but subject to the limitations of, </w:t>
      </w:r>
      <w:r>
        <w:rPr>
          <w:rFonts w:ascii="Times New Roman;Times;Serif" w:hAnsi="Times New Roman;Times;Serif"/>
          <w:b w:val="false"/>
          <w:i w:val="false"/>
          <w:caps w:val="false"/>
          <w:smallCaps w:val="false"/>
          <w:sz w:val="20"/>
          <w:u w:val="single"/>
        </w:rPr>
        <w:t>Section 9.10 (b)</w:t>
      </w:r>
      <w:r>
        <w:rPr>
          <w:rFonts w:ascii="Times New Roman;Times;Serif" w:hAnsi="Times New Roman;Times;Serif"/>
          <w:b w:val="false"/>
          <w:i w:val="false"/>
          <w:caps w:val="false"/>
          <w:smallCaps w:val="false"/>
          <w:sz w:val="20"/>
        </w:rPr>
        <w:t>, under no circumstances will a Party be permitted or entitled to receive both specific performance that results in the occurrence of the Closing and any monetary damages.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caps w:val="false"/>
          <w:smallCaps w:val="false"/>
          <w:sz w:val="20"/>
        </w:rPr>
        <w:t>Survival of Representations, Warranties and Covenants</w:t>
      </w:r>
      <w:r>
        <w:rPr>
          <w:rFonts w:ascii="Times New Roman;Times;Serif" w:hAnsi="Times New Roman;Times;Serif"/>
          <w:b w:val="false"/>
          <w:i w:val="false"/>
          <w:caps w:val="false"/>
          <w:smallCaps w:val="false"/>
          <w:sz w:val="20"/>
        </w:rPr>
        <w:t>. The representations, warranties and covenants of the Company and the Buyer Parties contained in this Agreement will terminate at the Closing, except that any covenants that by their terms survive the Closing will survive the Closing in accordance with their respective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All notices and other communications hereunder must be in writing and will be deemed to have been duly delivered and received hereunder: (i) four Business Days after being sent by registered or certified mail, return receipt requested, postage prepaid; (ii) one Business Day after being sent for next Business Day delivery, fees prepaid, via a reputable nationwide overnight courier service; or (iii) subject to the below, immediately upon delivery by hand or by email transmission, in each case to the intended recipient as set forth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the Buyer Parties or the Surviving Corporation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Langham Project, LLC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2618 San Miguel Dr, 480,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Newport Beach, CA 92660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Nicholas Kovacevich</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Manatt, Phelps &amp; Phillips, LLP</w:t>
      </w:r>
    </w:p>
    <w:p>
      <w:pPr>
        <w:pStyle w:val="TextBody"/>
        <w:bidi w:val="0"/>
        <w:spacing w:before="0" w:after="0"/>
        <w:ind w:left="14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Counsel to Langham Project LLC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 Town Center Drive, 14th Floor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Costa Mesa, CA 92626</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Thomas Poletti; Veronica Lah</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Company (prior to the Effective Time)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LogicMark,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2801 Diode Lane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Louisville, KY</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Mark Archer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Worcester LLP</w:t>
      </w:r>
    </w:p>
    <w:p>
      <w:pPr>
        <w:pStyle w:val="TextBody"/>
        <w:bidi w:val="0"/>
        <w:spacing w:before="0" w:after="0"/>
        <w:ind w:left="14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Counsel to LogicMark,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 Avenue of the Americas, 19th Floor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David Danovitch</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notice received by email at the addressee’s email address or otherwise at the addressee’s location on any Business Day after 5:00 p.m. (Eastern Time) or on any day that is not a Business Day will be deemed to have been received at 9:00 a.m. (Eastern Time) on the next Business Day. From time to time, any Party may provide notice to the other Parties of a change in its address or email address through a notice given in accordance with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caps w:val="false"/>
          <w:smallCaps w:val="false"/>
          <w:sz w:val="20"/>
        </w:rPr>
        <w:t>Assignment</w:t>
      </w:r>
      <w:r>
        <w:rPr>
          <w:rFonts w:ascii="Times New Roman;Times;Serif" w:hAnsi="Times New Roman;Times;Serif"/>
          <w:b w:val="false"/>
          <w:i w:val="false"/>
          <w:caps w:val="false"/>
          <w:smallCaps w:val="false"/>
          <w:sz w:val="20"/>
        </w:rPr>
        <w:t>. No Party may assign either this Agreement or any of its rights, interests or obligations hereunder without the prior written approval of the other Parties, except that the Buyer Parties will have the right to assign all or any portion of their respective rights and obligations pursuant to this Agreement: (a) in connection with a merger or consolidation involving the Buyer Parties or other disposition of all or substantially all of the assets of the Buyer Parties or the Surviving Corporation; or (b) to any of their respective Affiliates, it being understood that, in each case, such assignment will not impede or delay the consummation of the Merger or otherwise materially impede the rights of the holders of shares of Company Capital Stock or Company RSUs pursuant to this Agreement. Subject to the preceding sentence, this Agreement will be binding upon and will inure to the benefit of the Parties and their respective successors and permitted assigns. No assignment by any Party will relieve such Party of any of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Subject to applicable Law and subject to the other provisions of this Agreement, this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may be amended by the Parties at any time by execution of an instrument in writing signed on behalf of each of the Buyer Parties and the Company (pursuant to authorized action by the Company Board (or a committee thereof)), except that in the event that the Company has received the Requisite Stockholder Approvals, no amendment may be made to this Agreement that requires the approval of the Stockholders pursuant to the NRS without such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val="false"/>
          <w:i/>
          <w:caps w:val="false"/>
          <w:smallCaps w:val="false"/>
          <w:sz w:val="20"/>
        </w:rPr>
        <w:t>Extension; Waiver</w:t>
      </w:r>
      <w:r>
        <w:rPr>
          <w:rFonts w:ascii="Times New Roman;Times;Serif" w:hAnsi="Times New Roman;Times;Serif"/>
          <w:b w:val="false"/>
          <w:i w:val="false"/>
          <w:caps w:val="false"/>
          <w:smallCaps w:val="false"/>
          <w:sz w:val="20"/>
        </w:rPr>
        <w:t>. At any time and from time to time prior to the Effective Time, any Party may, to the extent legally allowed and except as otherwise set forth herein: (a) extend the time for the performance of any of the obligations or other acts of the other Parties, as applicable; (b) waive any inaccuracies in the representations and warranties made to such Party contained herein or in any document delivered pursuant hereto; and (c) subject to the requirements of applicable Law, waive compliance with any of the agreements or conditions for the benefit of such Party contained herein. Any agreement on the part of a Party to any such extension or waiver will be valid only if set forth in an instrument in writing signed by such Party. 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expressly provided in this Agreement, the rights and remedies herein provided shall be cumulative and not exclusive of any rights or remedies provided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Notwithstanding any other provision of this Agreement, no disclosure, representation or warranty shall be made (or other action taken) pursuant to this Agreement that would involve the disclosure of confidential supervisory information (including confidential supervisory information as defined or identified in 12 C.F.R. § 261.2(b) and 12 C.F.R. § 309.5(g)(8)) of a Governmental Authority by any party to this Agreement to the extent prohibited by applicable Law. To the extent legally permissible, appropriate substitute disclosures or actions shall be made or taken under circumstances in which the limitations of the preceding sentence apply.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 This Agreement and the documents and instruments and other agreements among the Parties as contemplated by or referred to herein, including the Company Disclosure Schedule and the Schedules hereto, constitute the entire agreement among the Parties with respect to the subject matter hereof and supersede all prior agreements and understandings, both written and oral, among the Parties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w:t>
      </w:r>
      <w:r>
        <w:rPr>
          <w:rFonts w:ascii="Times New Roman;Times;Serif" w:hAnsi="Times New Roman;Times;Serif"/>
          <w:b w:val="false"/>
          <w:i/>
          <w:caps w:val="false"/>
          <w:smallCaps w:val="false"/>
          <w:sz w:val="20"/>
        </w:rPr>
        <w:t>Third Party Beneficiaries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the Parties agree that their respective representations, warranties and covenants set forth in this Agreement are solely for the benefit of the other Parties in accordance with and subject to the terms of this Agreement. This Agreement is not intended to, and will not, confer upon any other Person any rights or remedies hereunder, except (a) as set forth in or contemplated by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which is intended to benefit the Indemnified Persons; and (b) from and after the Closing, the rights of the holders of shares of Company Common Stock, Company Warrants and Company RSUs, to receive the consideration set forth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The Parties further agree to replace such void or unenforceable provision of this Agreement with a valid and enforceable provision that will achieve, to the greatest extent possible, the economic, business and other purposes of such void or unenforceable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9.10. </w:t>
      </w:r>
      <w:r>
        <w:rPr>
          <w:rFonts w:ascii="Times New Roman;Times;Serif" w:hAnsi="Times New Roman;Times;Serif"/>
          <w:b w:val="false"/>
          <w:i/>
          <w:caps w:val="false"/>
          <w:smallCaps w:val="false"/>
          <w:sz w:val="20"/>
        </w:rPr>
        <w:t>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Remedies Cumulative</w:t>
      </w:r>
      <w:r>
        <w:rPr>
          <w:rFonts w:ascii="Times New Roman;Times;Serif" w:hAnsi="Times New Roman;Times;Serif"/>
          <w:b w:val="false"/>
          <w:i w:val="false"/>
          <w:caps w:val="false"/>
          <w:smallCaps w:val="false"/>
          <w:sz w:val="20"/>
        </w:rPr>
        <w:t>. Except as otherwise provided in this Agreement, any and all remedies expressly conferred upon a Party will be deemed cumulative with and not exclusive of any other remedy conferred by this Agreement or by applicable Law on such Party, and the exercise by a Party of any one remedy will not preclude the exercise of any other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Specific Performance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 Irreparable Damage</w:t>
      </w:r>
      <w:r>
        <w:rPr>
          <w:rFonts w:ascii="Times New Roman;Times;Serif" w:hAnsi="Times New Roman;Times;Serif"/>
          <w:b w:val="false"/>
          <w:i w:val="false"/>
          <w:caps w:val="false"/>
          <w:smallCaps w:val="false"/>
          <w:sz w:val="20"/>
        </w:rPr>
        <w:t xml:space="preserve">. The Parties agree that irreparable damage for which monetary damages, even if available, would not be an adequate remedy would occur in the event that the Parties do not perform the provisions of this Agreement (including any Party failing to take such actions that are required of it by this Agreement in order to consummate the Merger) in accordance with its specified terms or otherwise breach such provisions. The Parties acknowledge and agree that (A) the Parties will be entitled, in addition to any other remedy to which they are entitled at law or in equity, to an injunction, specific performance and other equitable relief to prevent breaches (or threatened breaches) of this Agreement and to enforce specifically the terms of this Agreement; (B) the provisions of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are not intended to and do not adequately compensate Parent and Merger Sub for the harm that would result from a breach of this Agreement, and will not be construed to diminish or otherwise impair in any respect any Party’s right to an injunction, specific performance and other equitable relief; and (C) the right of specific enforcement is an integral part of the Merger and without that right, neither the Company nor Parent would have entered into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(ii). No Objections</w:t>
      </w:r>
      <w:r>
        <w:rPr>
          <w:rFonts w:ascii="Times New Roman;Times;Serif" w:hAnsi="Times New Roman;Times;Serif"/>
          <w:b w:val="false"/>
          <w:i w:val="false"/>
          <w:caps w:val="false"/>
          <w:smallCaps w:val="false"/>
          <w:sz w:val="20"/>
        </w:rPr>
        <w:t>. The Parties agree not to raise any objections to (A) the granting of an injunction, specific performance or other equitable relief to prevent or restrain breaches or threatened breaches of this Agreement by the Company, on the one hand, or Parent and Merger Sub, on the other hand; and (B) the specific performance of the terms and provisions of this Agreement to prevent breaches or threatened breaches of, or to enforce compliance with, the covenants, obligations and agreements of the Parties pursuant to this Agreement. Any Party seeking an injunction or injunctions to prevent breaches (or threatened breaches) of this Agreement and to enforce specifically the terms and provisions of this Agreement will not be required to provide any bond or other security in connection with such injunction or enforcement, and each Party irrevocably waives any right that it may have to require the obtaining, furnishing or posting of any such bond or other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9.11. </w:t>
      </w:r>
      <w:r>
        <w:rPr>
          <w:rFonts w:ascii="Times New Roman;Times;Serif" w:hAnsi="Times New Roman;Times;Serif"/>
          <w:b w:val="false"/>
          <w:i/>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all claims or causes of action (whether at Law, in contract or in tort or otherwise) that may be based upon, arise out of or relate to this Agreement or the negotiation, execution or performance hereof or the transactions contemplated hereby, shall be governed by and construed in accordance with the laws of the State of Nevada, without giving effect to any choice or conflict of law provision or rule (whether of the State of Nevada or any other jurisdiction) that would cause the application of the laws of any jurisdiction other than the State of Nevada.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parties hereto irrevocably agrees that any Proceeding with respect to this Agreement and the rights and obligations arising hereunder and the transactions contemplated hereby, or for recognition and enforcement of any judgment in respect of this Agreement and the rights and obligations arising hereunder brought by the other party hereto or its successors or assigns, shall be brought and determined exclusively in the courts of the State of Nevada and/or the U.S. District Court for the District of Nevada (the “</w:t>
      </w:r>
      <w:r>
        <w:rPr>
          <w:rFonts w:ascii="Times New Roman;Times;Serif" w:hAnsi="Times New Roman;Times;Serif"/>
          <w:b/>
          <w:i w:val="false"/>
          <w:caps w:val="false"/>
          <w:smallCaps w:val="false"/>
          <w:sz w:val="20"/>
        </w:rPr>
        <w:t>Chosen Courts</w:t>
      </w:r>
      <w:r>
        <w:rPr>
          <w:rFonts w:ascii="Times New Roman;Times;Serif" w:hAnsi="Times New Roman;Times;Serif"/>
          <w:b w:val="false"/>
          <w:i w:val="false"/>
          <w:caps w:val="false"/>
          <w:smallCaps w:val="false"/>
          <w:sz w:val="20"/>
        </w:rPr>
        <w:t>”). Each of the parties hereto hereby irrevocably submits with regard to any such Proceeding for itself and in respect of its property, generally and unconditionally, to the personal jurisdiction of the Chosen Courts and agrees that it will not bring any action relating to this Agreement or any of the transactions contemplated by this Agreement in any court other than the Chosen Courts. Each of the parties hereto hereby irrevocably waives, and agrees not to assert, by way of motion, as a defense, counterclaim or otherwise, in any Proceeding with respect to this Agreement, (i) any claim that it is not personally subject to the jurisdiction of the Chosen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Proceeding in such court is brought in an inconvenient forum, (B) the venue of such Proceeding is improper or (C) this Agreement, or the subject matter hereof, may not be enforced in or by such courts. To the fullest extent permitted by applicable Law, each of the parties hereto hereby consents to the service of process out of any of the aforementioned courts in any such action or proceeding by the delivery of copies thereof by overnight courier to the address for such Party to which notices are deliverable hereunder; provided, that nothing herein shall affect the right of any party to serve legal process in any other manner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9.12.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xml:space="preserve">. EACH OF THE PARTIES HEREBY IRREVOCABLY WAIVES ALL RIGHT TO TRIAL BY JURY IN ANY ACTION, PROCEEDING OR COUNTERCLAIM (WHETHER BASED ON CONTRACT, TORT, OR OTHERWISE) ARISING OUT OF OR RELATING TO THIS AGREEMENT OR ANY OTHER RELEVANT MATTER. EACH PARTY TO THIS AGREEMENT CERTIFIES AND ACKNOWLEDGES THAT (A) NO REPRESENTATIVE OF ANY OTHER PARTY HAS REPRESENTED, EXPRESSLY OR OTHERWISE, THAT SUCH OTHER PARTY WOULD NOT SEEK TO ENFORCE THE FOREGOING WAIVER IN THE EVENT OF A LEGAL PROCEEDING, (B) SUCH PARTY HAS CONSIDERED AND UNDERSTANDS THE IMPLICATIONS OF THIS WAIVER, (C) SUCH PARTY MAKES THIS WAIVER VOLUNTARILY AND (D) SUCH PARTY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9.13. </w:t>
      </w:r>
      <w:r>
        <w:rPr>
          <w:rFonts w:ascii="Times New Roman;Times;Serif" w:hAnsi="Times New Roman;Times;Serif"/>
          <w:b w:val="false"/>
          <w:i/>
          <w:caps w:val="false"/>
          <w:smallCaps w:val="false"/>
          <w:sz w:val="20"/>
        </w:rPr>
        <w:t>Disclosure Schedule References</w:t>
      </w:r>
      <w:r>
        <w:rPr>
          <w:rFonts w:ascii="Times New Roman;Times;Serif" w:hAnsi="Times New Roman;Times;Serif"/>
          <w:b w:val="false"/>
          <w:i w:val="false"/>
          <w:caps w:val="false"/>
          <w:smallCaps w:val="false"/>
          <w:sz w:val="20"/>
        </w:rPr>
        <w:t>. The Parties agree that the disclosure set forth in any particular section or subsection of the Company Disclosure Schedule will be deemed to be an exception to (or, as applicable, a disclosure for purposes of) (i) the representations and warranties (or covenants, as applicable) of the Company that are set forth in the corresponding Section or subsection of this Agreement; and (ii) any other representations and warranties (or covenants, as applicable) of the Company that are set forth in this Agreement, but in the case of this clause (ii) only to the extent the relevance of that disclosure as an exception to (or a disclosure for purposes of) such other representations and warranties (or covenants, as applicable) is reasonably apparent on the face of such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9.14.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Agreement and any amendments hereto may be executed in one or more counterparts, all of which will be considered one and the same agreement and will become effective when one or more counterparts have been signed (including by electronic signature) by each of the Parties and delivered to the other Parties, it being understood that all Parties need not sign the same counterpart. Any such counterpart, to the extent delivered by .pdf, .tif, .gif, .jpg or similar attachment to electronic mail (any such delivery, an “</w:t>
      </w:r>
      <w:r>
        <w:rPr>
          <w:rFonts w:ascii="Times New Roman;Times;Serif" w:hAnsi="Times New Roman;Times;Serif"/>
          <w:b/>
          <w:i w:val="false"/>
          <w:caps w:val="false"/>
          <w:smallCaps w:val="false"/>
          <w:sz w:val="20"/>
        </w:rPr>
        <w:t>Electronic Delivery</w:t>
      </w:r>
      <w:r>
        <w:rPr>
          <w:rFonts w:ascii="Times New Roman;Times;Serif" w:hAnsi="Times New Roman;Times;Serif"/>
          <w:b w:val="false"/>
          <w:i w:val="false"/>
          <w:caps w:val="false"/>
          <w:smallCaps w:val="false"/>
          <w:sz w:val="20"/>
        </w:rPr>
        <w:t>”),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9.15. </w:t>
      </w:r>
      <w:r>
        <w:rPr>
          <w:rFonts w:ascii="Times New Roman;Times;Serif" w:hAnsi="Times New Roman;Times;Serif"/>
          <w:b w:val="false"/>
          <w:i/>
          <w:caps w:val="false"/>
          <w:smallCaps w:val="false"/>
          <w:sz w:val="20"/>
        </w:rPr>
        <w:t>No Limitation</w:t>
      </w:r>
      <w:r>
        <w:rPr>
          <w:rFonts w:ascii="Times New Roman;Times;Serif" w:hAnsi="Times New Roman;Times;Serif"/>
          <w:b w:val="false"/>
          <w:i w:val="false"/>
          <w:caps w:val="false"/>
          <w:smallCaps w:val="false"/>
          <w:sz w:val="20"/>
        </w:rPr>
        <w:t>. It is the intention of the Parties that, to the extent possible, unless provisions are mutually exclusive and effect cannot be given to both or all such provisions, the representations, warranties, covenants and closing conditions in this Agreement will be construed to be cumulative and that each representation, warranty, covenant and closing condition in this Agreement will be given full, separate and independent effect and nothing set forth in any provision herein will in any way be deemed to limit the scope, applicability or effect of any other provision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9.16. </w:t>
      </w:r>
      <w:r>
        <w:rPr>
          <w:rFonts w:ascii="Times New Roman;Times;Serif" w:hAnsi="Times New Roman;Times;Serif"/>
          <w:b w:val="false"/>
          <w:i/>
          <w:caps w:val="false"/>
          <w:smallCaps w:val="false"/>
          <w:sz w:val="20"/>
        </w:rPr>
        <w:t>Certain Interpretations.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 a reference is made in this Agreement to an Article or a Section, such reference is to an Article or a Section of this Agreement unless otherwise indicated, and references to “paragraphs” or “clauses” are to separate paragraphs or clauses of the Section or subsection in which the reference occurs. When a reference is made in this Agreement to a Schedule, such reference is to a Schedule to this Agreement, unless otherwise indicated.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 used herein, (i) the words “hereof,” “herein” and “herewith” and words of similar import will, unless the context otherwise requires, be construed to refer to this Agreement as a whole and not to any particular provision of this Agreement; and (ii) the words “include,” “includes” and “including” will be deemed in each case to be followed by the words “without limitation” unless preceded by a negative predicate. When used herein, the phrase “the date hereof” and terms or phrases of similar import means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word “or” shall not be exclusive.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word “extent” in the phrase “to the extent” means the degree to which a subject or other thing extends and does not simply mean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When used in this Agreement, references to “$” or “Dollars” are references to U.S. dollars.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 All terms defined in this Agreement shall have the defined meanings when used in any certificate or other document made or delivered pursuant thereto unless otherwise defined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When reference is made to any Party to this Agreement or any other agreement or document, such reference includes such Party’s successors and permitted assigns. References to any Person include the successors and permitted assigns of that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Unless the context otherwise requires, all references in this Agreement to the Subsidiaries of a Person will be deemed to include all direct and indirect Subsidiaries of such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reference to any specific legislation or to any provision of any legislation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that Agreement that are made as a specific date, references to any specific legislation will be deemed to refer to such legislation or provision (and all rules, regulations and statutory instruments issued thereunder or pursuant thereto) as of such date. References to any agreement or Contract are to that agreement or Contract as amended, modified or supplemented from time to time, and any exhibits, schedules, annexes, statements of work, riders and other documents attached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All accounting terms used but not specifically defined herein will be interpreted, and all accounting determinations hereunder will be made,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table of contents and headings set forth in this Agreement are for convenience of reference purposes only and will not affect or be deemed to affect in any way the meaning or interpretation of this Agreement or any term or provision 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measure of a period of one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month following May 18 is June 18 and one month following May 31 is July 1). When calculating the period of time before which, within which or following which any act is to be done or step taken pursuant to this Agreement, the date that is the reference date in calculating such period will be excluded. References to “from” or “through” any date mean, unless otherwise specified, from and including or through and including such date,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Parties agree that they have been represented by legal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 summary of this Agreement or any Schedule delivered herewith prepared by or on behalf of any Party will affect the meaning or interpretation of this Agreement or such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information contained in this Agreement and in the Company Disclosure Schedule is disclosed solely for purposes of this Agreement, and no information contained herein or therein will be deemed to be an admission by any Party to any third Person of any matter whatsoever, including (i) any violation of Law or breach of contract; or (ii) that such information is material or that such information is required to be referred to or disclosed under this Agreement. Disclosure of any information or document in the Company Disclosure Schedule is not a statement or admission that it is material or required to be disclosed in the Company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actual facts or circumstances as of the date hereof or as of any other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Documents or other information or materials will be deemed to have been “made available,” “furnished,” “provided,” or “delivered” by the Company if such documents, information or materials have been physically or electronically delivered to the relevant Party at least two Business Days prior to the date of this Agreement, including by being (i) posted to a virtual data room managed by the Company and hosted at work.hunton.com under the project name “Project Omaha” or (ii) filed with or furnished to the SEC and available on EDGAR, in each case prior to 5:00 p.m. (Eastern Time)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References to “writing” mean the representation or reproduction of words, symbols or other information in a visible form by any method or combination of methods, whether in electronic form or otherwise, and including writings delivered by Electronic Delivery. “Written” will be construed in the same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9.17. </w:t>
      </w:r>
      <w:r>
        <w:rPr>
          <w:rFonts w:ascii="Times New Roman;Times;Serif" w:hAnsi="Times New Roman;Times;Serif"/>
          <w:b w:val="false"/>
          <w:i/>
          <w:caps w:val="false"/>
          <w:smallCaps w:val="false"/>
          <w:sz w:val="20"/>
        </w:rPr>
        <w:t>Fees and Expenses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all fees and expenses incurred in connection with this Agreement and the Merger will be paid by the Party incurring such fees and expenses whether or not the Merger is consummated, except that expenses incurred in connection with (A) the filing fees for the Proxy Statement and Schedule 13e-3 and (B) printing and mailing the Proxy Statement shall be borne by the Company. For the avoidance of doubt, the Company will be responsible for all fees and expenses of the Payment Agent. All documentary, sales, use, real property transfer, registration, transfer, stamp, recording and similar Taxes and fees incurred in connection with the consummation of the Merger shall be timely and duly paid by Parent, other than Taxes described in </w:t>
      </w:r>
      <w:r>
        <w:rPr>
          <w:rFonts w:ascii="Times New Roman;Times;Serif" w:hAnsi="Times New Roman;Times;Serif"/>
          <w:b w:val="false"/>
          <w:i w:val="false"/>
          <w:caps w:val="false"/>
          <w:smallCaps w:val="false"/>
          <w:sz w:val="20"/>
          <w:u w:val="single"/>
        </w:rPr>
        <w:t>Section 2.3(e)</w:t>
      </w:r>
      <w:r>
        <w:rPr>
          <w:rFonts w:ascii="Times New Roman;Times;Serif" w:hAnsi="Times New Roman;Times;Serif"/>
          <w:b w:val="false"/>
          <w:i w:val="false"/>
          <w:caps w:val="false"/>
          <w:smallCaps w:val="false"/>
          <w:sz w:val="20"/>
        </w:rPr>
        <w:t xml:space="preserve"> and Parent shall timely prepare and file, with the other Parties’ reasonable cooperation in connection with the preparation and filing of, such Tax Returns related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9.18. </w:t>
      </w:r>
      <w:r>
        <w:rPr>
          <w:rFonts w:ascii="Times New Roman;Times;Serif" w:hAnsi="Times New Roman;Times;Serif"/>
          <w:b w:val="false"/>
          <w:i/>
          <w:caps w:val="false"/>
          <w:smallCaps w:val="false"/>
          <w:sz w:val="20"/>
        </w:rPr>
        <w:t>Non-recourse</w:t>
      </w:r>
      <w:r>
        <w:rPr>
          <w:rFonts w:ascii="Times New Roman;Times;Serif" w:hAnsi="Times New Roman;Times;Serif"/>
          <w:b w:val="false"/>
          <w:i w:val="false"/>
          <w:caps w:val="false"/>
          <w:smallCaps w:val="false"/>
          <w:sz w:val="20"/>
        </w:rPr>
        <w:t xml:space="preserve">. Each Party agrees, on behalf of itself and its Related Parties, that, except with respect to claims of Fraud against any Person committing such Fraud, all Legal Proceedings (whether in contract or in tort, in law or in equity or otherwise, or granted by statute or otherwise, whether by or through attempted piercing of the corporate, limited partnership or limited liability company veil or any other theory or doctrine, including alter ego or otherwise) that may be based upon, in respect of, arise under, out or by reason of, be connected with, or relate in any manner to: (a) this Agreement, any of the Transaction Documents or the Merger; (b) the negotiation, execution or performance of this Agreement or any of the Transaction Documents (including any representation or warranty made in connection with, or as an inducement to, this Agreement or any of the Transaction Documents); (c) any breach or violation of this Agreement or any of the Transaction Documents; or (d) any failure of the Merger to be consummated, in each case, may be made only (A) against the Persons that are, in the case of this Agreement, expressly identified as parties to this Agreement, and in the case of the Transaction Documents, Persons expressly identified as parties to such Transaction Documents; and (B) in accordance with, and subject to the terms and conditions of, this Agreement or such Transaction Documents, as applicable. Notwithstanding anything in this Agreement or any of the Transaction Documents to the contrary, each Party agrees, on behalf of itself and its Related Parties, that, except with respect to claims of Fraud against any Person committing such Fraud, (1) no recourse under this Agreement or any of the Transaction Documents or in connection with the Merger will be sought or had against any other Person not identified in the foregoing clause (A), including any Related Party, and (2) except to the extent they are identified in the foregoing clause (A), no other Person, including any Related Party, will have any liabilities or obligations (whether in contract or in tort, in law or in equity or otherwise, or granted by statute or otherwise, whether by or through attempted piercing of the corporate, limited partnership or limited liability company veil or any other theory or doctrine, including alter ego or otherwise), for any claims, causes of action, obligations or liabilities arising under, out of, in connection with or related in any manner to the items in the clauses (a) through (d), it being acknowledged and agreed that no personal liability or losses whatsoever will attach to, be imposed on or otherwise be incurred by any of the aforementioned, as such, arising under, out of, in connection with or related in any manner to the items in clauses (a) through (d), in each case, except with respect to claims of Fraud against any Person committing such Fraud and for claims that the Company, Parent or Merger Sub, as applicable, may assert (subject, with respect to the following clauses (i) and (ii), in all respects to the limitations set forth in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8.2(f)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9.10(b)</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9.18</w:t>
      </w:r>
      <w:r>
        <w:rPr>
          <w:rFonts w:ascii="Times New Roman;Times;Serif" w:hAnsi="Times New Roman;Times;Serif"/>
          <w:b w:val="false"/>
          <w:i w:val="false"/>
          <w:caps w:val="false"/>
          <w:smallCaps w:val="false"/>
          <w:sz w:val="20"/>
        </w:rPr>
        <w:t>) against the Company, Parent and Merger Sub solely in accordance with, and pursuant to the terms and conditions of,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caps w:val="false"/>
          <w:smallCaps w:val="false"/>
          <w:sz w:val="20"/>
        </w:rPr>
        <w:t>Certain Definitions</w:t>
      </w:r>
      <w:r>
        <w:rPr>
          <w:rFonts w:ascii="Times New Roman;Times;Serif" w:hAnsi="Times New Roman;Times;Serif"/>
          <w:b w:val="false"/>
          <w:i w:val="false"/>
          <w:caps w:val="false"/>
          <w:smallCaps w:val="false"/>
          <w:sz w:val="20"/>
        </w:rPr>
        <w:t>. For all purposes of and pursuant to this Agreement, the following capitalized terms have the following respective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means any offer or proposal (other than an offer or proposal by the Buyer Parties or any of their Affiliates) to engage in an Acquisition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Acquisition Transaction</w:t>
      </w:r>
      <w:r>
        <w:rPr>
          <w:rFonts w:ascii="Times New Roman;Times;Serif" w:hAnsi="Times New Roman;Times;Serif"/>
          <w:b w:val="false"/>
          <w:i w:val="false"/>
          <w:caps w:val="false"/>
          <w:smallCaps w:val="false"/>
          <w:sz w:val="20"/>
        </w:rPr>
        <w:t>” means any transaction or series of related transactions (other than the transactions contemplated hereby) involving: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direct or indirect purchase or other acquisition by any Person or “group” (as defined pursuant to Section 13(d) of the Exchange Act) of Persons (in each case, other than the Buyer Parties or their Affiliates or any group that includes the Buyer Parties or their Affiliates), whether from the Company or any other Person(s), of securities representing more than 15% of the total outstanding shares of any class of voting or equity securities of the Company after giving effect to the consummation of such purchase or other acquisition, including pursuant to a tender offer or exchange offer by any Person or “group” of Persons that, if consummated in accordance with its terms, would result in such Person or “group” of Persons beneficially owning more than 15% of the total outstanding shares of any class of voting or equity securities of the Company after giving effect to the consummation of such tender or exchange offer;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direct or indirect purchase, or other acquisition (including by way of merger, amalgamation, consolidation, share exchange, business combination, joint venture, liquidation, dissolution, recapitalization, exclusive license, extraordinary dividend or reorganization) by any Person or “group” (as defined pursuant to Section 13(d) of the Exchange Act) of Persons of assets constituting or accounting for more than 15% of the consolidated assets, Company Owned Intellectual Property, revenue or net income of the Company Group, taken as a whole (measured by the fair market value thereof as of the date of such purchase or acquisition);</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merger, amalgamation, consolidation, business combination, joint venture, recapitalization, reorganization, liquidation, dissolution or other transaction involving the Company pursuant to which the stockholders of the Company immediately preceding such transaction hold securities representing less than 85% of the total outstanding shares of any class of voting or equity securities of the Company after giving effect to the consummation of such transaction; or</w:t>
      </w:r>
    </w:p>
    <w:p>
      <w:pPr>
        <w:pStyle w:val="TextBody"/>
        <w:bidi w:val="0"/>
        <w:spacing w:before="0" w:after="0"/>
        <w:ind w:left="0" w:right="0" w:firstLine="1368"/>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combination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controls, is controlled by or is under common control with such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and policies of that Person, whether through the ownership of voting securities,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Anti-Corruption Law</w:t>
      </w:r>
      <w:r>
        <w:rPr>
          <w:rFonts w:ascii="Times New Roman;Times;Serif" w:hAnsi="Times New Roman;Times;Serif"/>
          <w:b w:val="false"/>
          <w:i w:val="false"/>
          <w:caps w:val="false"/>
          <w:smallCaps w:val="false"/>
          <w:sz w:val="20"/>
        </w:rPr>
        <w:t>” means any applicable Law related to combating bribery and corruption, including applicable laws promulgated pursuant to the OECD Convention on Combating Bribery of Foreign Officials in International Business Transactions or the UN Convention Against Corruption, the U.S. Foreign Corrupt Practices Act of 1977, as amended, and the UK Bribery Act 2010.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each day that is not a Saturday, Sunday or other day on which the SEC or commercial banks in New York, New York are authorized or required by Law to be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 and any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Company Award</w:t>
      </w:r>
      <w:r>
        <w:rPr>
          <w:rFonts w:ascii="Times New Roman;Times;Serif" w:hAnsi="Times New Roman;Times;Serif"/>
          <w:b w:val="false"/>
          <w:i w:val="false"/>
          <w:caps w:val="false"/>
          <w:smallCaps w:val="false"/>
          <w:sz w:val="20"/>
        </w:rPr>
        <w:t>” means all outstanding Company Options and Company RSUs issued under Company Incentive Plans prior to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Company Benefit Plan</w:t>
      </w:r>
      <w:r>
        <w:rPr>
          <w:rFonts w:ascii="Times New Roman;Times;Serif" w:hAnsi="Times New Roman;Times;Serif"/>
          <w:b w:val="false"/>
          <w:i w:val="false"/>
          <w:caps w:val="false"/>
          <w:smallCaps w:val="false"/>
          <w:sz w:val="20"/>
        </w:rPr>
        <w:t>” means (i) each “employee benefit plan” (as defined in Section 3(3) of ERISA) and (ii) each other plan, program, policy, agreement or arrangement, qualified or non-qualified, written or oral, funded or unfunded, that involves any (x) pension, retirement, profit sharing, savings, deferred compensation, bonus, stock option, simple retirement account (as described in Section 408(p) of the Code), stock purchase, phantom stock, incentive plan, or change-in-control benefits; (y) welfare or “fringe” benefits, including vacation, holiday, severance, redundancy, disability, medical, hospitalization, dental, life and other insurance, tuition, company car, club dues, sick leave, maternity, paternity or family leave, health care reimbursement, dependent care assistance, cafeteria plan, regular in-kind gifts, or other benefits; or (z) employment, consulting, engagement, retainer or golden parachute benefits, in each case, which is sponsored, maintained, or contributed to by the Company with respect to which the Company has (or would reasonably be expected to have) any obligation or liability (whether actual or contingent, direct or indirect) to provide compensation or benefits to or for the benefit of any current or former employee, officer or director of the Company (or their spouses, dependents, or beneficiaries).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Company 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Company Capital Stock</w:t>
      </w:r>
      <w:r>
        <w:rPr>
          <w:rFonts w:ascii="Times New Roman;Times;Serif" w:hAnsi="Times New Roman;Times;Serif"/>
          <w:b w:val="false"/>
          <w:i w:val="false"/>
          <w:caps w:val="false"/>
          <w:smallCaps w:val="false"/>
          <w:sz w:val="20"/>
        </w:rPr>
        <w:t>” means the Company Common Stock, the Series C Preferred Stock and the Series J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Company Common Stock</w:t>
      </w:r>
      <w:r>
        <w:rPr>
          <w:rFonts w:ascii="Times New Roman;Times;Serif" w:hAnsi="Times New Roman;Times;Serif"/>
          <w:b w:val="false"/>
          <w:i w:val="false"/>
          <w:caps w:val="false"/>
          <w:smallCaps w:val="false"/>
          <w:sz w:val="20"/>
        </w:rPr>
        <w:t>” means the common stock, par value $0.0001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Company Group</w:t>
      </w:r>
      <w:r>
        <w:rPr>
          <w:rFonts w:ascii="Times New Roman;Times;Serif" w:hAnsi="Times New Roman;Times;Serif"/>
          <w:b w:val="false"/>
          <w:i w:val="false"/>
          <w:caps w:val="false"/>
          <w:smallCaps w:val="false"/>
          <w:sz w:val="20"/>
        </w:rPr>
        <w:t>” means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Company Incentive Plans</w:t>
      </w:r>
      <w:r>
        <w:rPr>
          <w:rFonts w:ascii="Times New Roman;Times;Serif" w:hAnsi="Times New Roman;Times;Serif"/>
          <w:b w:val="false"/>
          <w:i w:val="false"/>
          <w:caps w:val="false"/>
          <w:smallCaps w:val="false"/>
          <w:sz w:val="20"/>
        </w:rPr>
        <w:t>” means the LogicMark, Inc. 2013 Long Term Incentive Plan, the LogicMark, Inc. 2017 Stock Incentive Plan and the LogicMark, Inc. 2023 Stock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Company Intellectual Property</w:t>
      </w:r>
      <w:r>
        <w:rPr>
          <w:rFonts w:ascii="Times New Roman;Times;Serif" w:hAnsi="Times New Roman;Times;Serif"/>
          <w:b w:val="false"/>
          <w:i w:val="false"/>
          <w:caps w:val="false"/>
          <w:smallCaps w:val="false"/>
          <w:sz w:val="20"/>
        </w:rPr>
        <w:t>” means all Company Owned Intellectual Property and all other Intellectual Property that is used, held for use or necessary for the conduct of the Company Group’s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Company IT Systems</w:t>
      </w:r>
      <w:r>
        <w:rPr>
          <w:rFonts w:ascii="Times New Roman;Times;Serif" w:hAnsi="Times New Roman;Times;Serif"/>
          <w:b w:val="false"/>
          <w:i w:val="false"/>
          <w:caps w:val="false"/>
          <w:smallCaps w:val="false"/>
          <w:sz w:val="20"/>
        </w:rPr>
        <w:t>” means all computers, devices, equipment, networks, systems, and other information technology infrastructure used in, enabling, or relating to the storage or processing of data or information, including all Software operating on or in connection with such systems, devices, or equipment, used or held for use in the conduct of the business or by or on behalf of the Company, including all computers, servers, storage devices, workstations, routers, hubs, switches, sensors, and other devices, equipment, networks, or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any change, event, condition, development, occurrence, effect or circumstance (each, an “</w:t>
      </w:r>
      <w:r>
        <w:rPr>
          <w:rFonts w:ascii="Times New Roman;Times;Serif" w:hAnsi="Times New Roman;Times;Serif"/>
          <w:b/>
          <w:i w:val="false"/>
          <w:caps w:val="false"/>
          <w:smallCaps w:val="false"/>
          <w:sz w:val="20"/>
        </w:rPr>
        <w:t>Effect</w:t>
      </w:r>
      <w:r>
        <w:rPr>
          <w:rFonts w:ascii="Times New Roman;Times;Serif" w:hAnsi="Times New Roman;Times;Serif"/>
          <w:b w:val="false"/>
          <w:i w:val="false"/>
          <w:caps w:val="false"/>
          <w:smallCaps w:val="false"/>
          <w:sz w:val="20"/>
        </w:rPr>
        <w:t xml:space="preserve">”) that, individually or taken together with all other Effects that exist at the date of determination of the occurrence of the Company Material Adverse Effect, (A) has had, or would reasonably be expected to have, a material adverse effect on the business, financial condition or results of operations of the Company, taken as a whole, or (B) would reasonably be expected to prevent or materially delay the ability of the Company to perform its obligations under this Agreement or to consummate the Merger and the other transactions contemplated by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purposes of the foregoing clause (A) only, no Effects arising out of or resulting from the following (by itself or when aggregated) will be taken into account when determining whether a Company Material Adverse Effect has occurred or would reasonably be expected to occur (subject to the limitations set forth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general economic conditions in the United States or any other country or region in the world, or conditions in the global economy generally, including inflation or any changes in the rate of increase or decrease of inflation;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conditions in the financial markets, credit markets, equity markets, debt markets, currency markets or capital markets in the United States or any other country or region in the world, including (a) changes in interest rates or credit ratings in the United States or any other country; (b) changes in exchange rates for the currencies of any country; or (c) any suspension of trading in securities (whether equity, debt, derivative or hybrid securities) generally on any securities exchange or over-the-counter market operating in the United States or any other country or region in the world;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conditions in the industries in which the Company Group conducts business or in any specific jurisdiction or geographical area in which the Company Group conducts business, or changes in such conditions;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regulatory, legislative or political conditions (including anti-dumping actions, international tariffs, sanctions, trade policies or disputes or any “trade war” or similar actions) in the United States or any other country or region in the world;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geopolitical conditions, outbreak of hostilities, armed conflicts, civil unrest, civil disobedience, acts of war, sabotage, terrorism (including cybercrime, cyberattack or cyberterrorism) or military actions (including, in each case, any escalation or worsening of any of the foregoing) in the United States or any other country or region in the world, including an outbreak or escalation of hostilities involving the United States or any other Governmental Authority or the declaration by the United States or any other Governmental Authority of a national emergency or war;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earthquakes, hurricanes, tsunamis, tornadoes, floods, mudslides, wildfires, nuclear incidents, foreign or domestic social protest or social unrest (whether or not violent), or other natural or man-made disasters, weather conditions, power outages or other force majeure events in the United States or any other country or region in the world (or escalation or worsening of any such events or occurrences, including, in each case, the response of Governmental Authorities) (collectively, “</w:t>
      </w:r>
      <w:r>
        <w:rPr>
          <w:rFonts w:ascii="Times New Roman;Times;Serif" w:hAnsi="Times New Roman;Times;Serif"/>
          <w:b/>
          <w:i w:val="false"/>
          <w:caps w:val="false"/>
          <w:smallCaps w:val="false"/>
          <w:sz w:val="20"/>
        </w:rPr>
        <w:t>Force Majeure Events</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pandemics, epidemics, plagues, contagious disease outbreaks or other comparable events (including quarantine restrictions mandated or recommended by any Governmental Authority), or escalation or worsening of any such events or occurrences, including, in each case, the response of Governmental Authorities in the United States or any other country or region in the world (collectively, “</w:t>
      </w:r>
      <w:r>
        <w:rPr>
          <w:rFonts w:ascii="Times New Roman;Times;Serif" w:hAnsi="Times New Roman;Times;Serif"/>
          <w:b/>
          <w:i w:val="false"/>
          <w:caps w:val="false"/>
          <w:smallCaps w:val="false"/>
          <w:sz w:val="20"/>
        </w:rPr>
        <w:t>Health Crises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execution, delivery, announcement or performance of this Agreement or the pendency of the Merger and the transactions contemplated hereby, including the impact thereof on the relationships, contractual or otherwise, of the Company Group with employees (including any employee attrition), suppliers, customers, partners, sponsors, lenders, lessors, vendors, Governmental Authorities or any other third Person;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action taken or refrained from being taken at the written request of Parent after the date of this Agreement;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changes or proposed changes in GAAP or other accounting standards or Law (or the enforcement or interpretation of any of the foregoing);</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changes in the price or trading volume of the Company Common Stock, in and of itself (it being understood that any cause of such change may be deemed to constitute, in and of itself, a Company Material Adverse Effect and may be taken into consideration when determining whether a Company Material Adverse Effect has occurred to the extent not otherwise excluded under this definition); or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failure, in and of itself, by the Company Group to meet (A) any public estimates or expectations of the Company’s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be deemed to constitute, in and of itself, a Company Material Adverse Effect and may be taken into consideration when determining whether a Company Material Adverse Effect has occurred to the extent not otherwise excluded under this definition).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each case of clauses (i), (ii), (ii), (iv), (v), (vi), (vii) and (x), to the extent such Effects have had a disproportionate adverse effect on the Company, taken as a whole, relative to other companies operating in the industries in which the Company conduct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rPr>
        <w:t>Company Offerings</w:t>
      </w:r>
      <w:r>
        <w:rPr>
          <w:rFonts w:ascii="Times New Roman;Times;Serif" w:hAnsi="Times New Roman;Times;Serif"/>
          <w:b w:val="false"/>
          <w:i w:val="false"/>
          <w:caps w:val="false"/>
          <w:smallCaps w:val="false"/>
          <w:sz w:val="20"/>
        </w:rPr>
        <w:t>” means any and all products and services designed, developed, manufactured, sold, licensed, distributed, marketed, provided or otherwise made commercially available at any time by the Company, including any component, sensor, system, device, hardware, hosted platform, hosted Software or application, hosted service, cloud-based application or service, any application programming interface, Software development kit, dashboard, interface, environment or any service that operates through a network of computer servers (and further including all web, mobile, and tablet versions thereof and all platforms and other Software used for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rPr>
        <w:t>Company Owned Intellectual Property</w:t>
      </w:r>
      <w:r>
        <w:rPr>
          <w:rFonts w:ascii="Times New Roman;Times;Serif" w:hAnsi="Times New Roman;Times;Serif"/>
          <w:b w:val="false"/>
          <w:i w:val="false"/>
          <w:caps w:val="false"/>
          <w:smallCaps w:val="false"/>
          <w:sz w:val="20"/>
        </w:rPr>
        <w:t>” means any Intellectual Property that is owned by, purported to be owned by, any of the Company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rPr>
        <w:t>Company Registered Intellectual Property</w:t>
      </w:r>
      <w:r>
        <w:rPr>
          <w:rFonts w:ascii="Times New Roman;Times;Serif" w:hAnsi="Times New Roman;Times;Serif"/>
          <w:b w:val="false"/>
          <w:i w:val="false"/>
          <w:caps w:val="false"/>
          <w:smallCaps w:val="false"/>
          <w:sz w:val="20"/>
        </w:rPr>
        <w:t>” means all of the Registered Intellectual Property owned by, or filed in the name of, any member of the Company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i w:val="false"/>
          <w:caps w:val="false"/>
          <w:smallCaps w:val="false"/>
          <w:sz w:val="20"/>
        </w:rPr>
        <w:t>Company Related Parties</w:t>
      </w:r>
      <w:r>
        <w:rPr>
          <w:rFonts w:ascii="Times New Roman;Times;Serif" w:hAnsi="Times New Roman;Times;Serif"/>
          <w:b w:val="false"/>
          <w:i w:val="false"/>
          <w:caps w:val="false"/>
          <w:smallCaps w:val="false"/>
          <w:sz w:val="20"/>
        </w:rPr>
        <w:t>” means, collectively (A) the Company; and (B) the former, current and future holders of any equity, controlling persons, Representatives, Affiliates, members, managers, general or limited partners, stockholders and assignees of each of the Company and each of their respective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i w:val="false"/>
          <w:caps w:val="false"/>
          <w:smallCaps w:val="false"/>
          <w:sz w:val="20"/>
        </w:rPr>
        <w:t>Company RSUs</w:t>
      </w:r>
      <w:r>
        <w:rPr>
          <w:rFonts w:ascii="Times New Roman;Times;Serif" w:hAnsi="Times New Roman;Times;Serif"/>
          <w:b w:val="false"/>
          <w:i w:val="false"/>
          <w:caps w:val="false"/>
          <w:smallCaps w:val="false"/>
          <w:sz w:val="20"/>
        </w:rPr>
        <w:t>” means any restricted stock units granted under any of the Company Incentive Plans.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i w:val="false"/>
          <w:caps w:val="false"/>
          <w:smallCaps w:val="false"/>
          <w:sz w:val="20"/>
        </w:rPr>
        <w:t>Company Software</w:t>
      </w:r>
      <w:r>
        <w:rPr>
          <w:rFonts w:ascii="Times New Roman;Times;Serif" w:hAnsi="Times New Roman;Times;Serif"/>
          <w:b w:val="false"/>
          <w:i w:val="false"/>
          <w:caps w:val="false"/>
          <w:smallCaps w:val="false"/>
          <w:sz w:val="20"/>
        </w:rPr>
        <w:t>” means all Software owned or purported to be owned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i w:val="false"/>
          <w:caps w:val="false"/>
          <w:smallCaps w:val="false"/>
          <w:sz w:val="20"/>
        </w:rPr>
        <w:t>Company Stockholder Approval</w:t>
      </w:r>
      <w:r>
        <w:rPr>
          <w:rFonts w:ascii="Times New Roman;Times;Serif" w:hAnsi="Times New Roman;Times;Serif"/>
          <w:b w:val="false"/>
          <w:i w:val="false"/>
          <w:caps w:val="false"/>
          <w:smallCaps w:val="false"/>
          <w:sz w:val="20"/>
        </w:rPr>
        <w:t>” means the adoption of this Agreement and the approval of the Merger and the other transactions contemplated hereby by the affirmative vote of the holders representing a majority of the aggregate voting power of the outstanding capital stock entitled to vote thereon at the Stockholder Meeting, voting together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r>
        <w:rPr>
          <w:rFonts w:ascii="Times New Roman;Times;Serif" w:hAnsi="Times New Roman;Times;Serif"/>
          <w:b/>
          <w:i w:val="false"/>
          <w:caps w:val="false"/>
          <w:smallCaps w:val="false"/>
          <w:sz w:val="20"/>
        </w:rPr>
        <w:t>Company Warrant</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Company Warrants</w:t>
      </w:r>
      <w:r>
        <w:rPr>
          <w:rFonts w:ascii="Times New Roman;Times;Serif" w:hAnsi="Times New Roman;Times;Serif"/>
          <w:b w:val="false"/>
          <w:i w:val="false"/>
          <w:caps w:val="false"/>
          <w:smallCaps w:val="false"/>
          <w:sz w:val="20"/>
        </w:rPr>
        <w:t>” means, collectively, (a) that certain warrants issued by the Company on February 2, 2021, (b) that certain warrants issued by the Company on August 16, 2021, (c) that certain warrants issued by the Company on September 15, 2021, (d) that certain warrants issued by the Company on January 25, 2023, (e) the Series A-1 Warrants and Series B-1 Warrants issued by the Company on November 24, 2023, (f) the Series A-2 Warrants and Series B-2 Warrants issued by the Company on November 24, 2023, and (g) the Series A and Series B Warrants issued by the Company on August 5, 2024 in each case, to the extent outstanding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Consent</w:t>
      </w:r>
      <w:r>
        <w:rPr>
          <w:rFonts w:ascii="Times New Roman;Times;Serif" w:hAnsi="Times New Roman;Times;Serif"/>
          <w:b w:val="false"/>
          <w:i w:val="false"/>
          <w:caps w:val="false"/>
          <w:smallCaps w:val="false"/>
          <w:sz w:val="20"/>
        </w:rPr>
        <w:t>” means any consent, approval, order, waiver, or authorization of, or filing or registration with, or notification to,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Contract</w:t>
      </w:r>
      <w:r>
        <w:rPr>
          <w:rFonts w:ascii="Times New Roman;Times;Serif" w:hAnsi="Times New Roman;Times;Serif"/>
          <w:b w:val="false"/>
          <w:i w:val="false"/>
          <w:caps w:val="false"/>
          <w:smallCaps w:val="false"/>
          <w:sz w:val="20"/>
        </w:rPr>
        <w:t>” means any written or oral contract, subcontract, note, bond, mortgage, indenture, lease, license, sublicense or other binding agreement, obligation, arrangement or understanding of any kind, and any amendments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Data Protection Laws</w:t>
      </w:r>
      <w:r>
        <w:rPr>
          <w:rFonts w:ascii="Times New Roman;Times;Serif" w:hAnsi="Times New Roman;Times;Serif"/>
          <w:b w:val="false"/>
          <w:i w:val="false"/>
          <w:caps w:val="false"/>
          <w:smallCaps w:val="false"/>
          <w:sz w:val="20"/>
        </w:rPr>
        <w:t>” means all Laws relating to privacy, data protection and data and information security, including with respect to the collection, storage, accessing, transmission, transfer (including cross-border transfers), processing, encryption, security, safeguarding, loss, disclosure and use of Personal Data (including Personal Data of individuals, employees, contractors, individual contacts of customers, loan job applicants, patients or other end users and individual contacts of third parties), online tracking data, and email and mobile communications.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Environmental Claims</w:t>
      </w:r>
      <w:r>
        <w:rPr>
          <w:rFonts w:ascii="Times New Roman;Times;Serif" w:hAnsi="Times New Roman;Times;Serif"/>
          <w:b w:val="false"/>
          <w:i w:val="false"/>
          <w:caps w:val="false"/>
          <w:smallCaps w:val="false"/>
          <w:sz w:val="20"/>
        </w:rPr>
        <w:t>” means any Legal Proceeding, order, demand, allegation, accusation or notice (in each case, in writing) by any Person alleging actual or potential liability arising out of or relating to any Environmental Laws, Environmental Permits or the presence in, or Release into, the environment of, or exposure to, any Hazardous Substance, but shall not include any claims relating to products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Environmental Law</w:t>
      </w:r>
      <w:r>
        <w:rPr>
          <w:rFonts w:ascii="Times New Roman;Times;Serif" w:hAnsi="Times New Roman;Times;Serif"/>
          <w:b w:val="false"/>
          <w:i w:val="false"/>
          <w:caps w:val="false"/>
          <w:smallCaps w:val="false"/>
          <w:sz w:val="20"/>
        </w:rPr>
        <w:t>” means any applicable Law (including common law) or Order relating to pollution, worker or public health and safety (as relates to exposure to Hazardous Substances) or the protection of the environment (including ambient air, surface water, groundwater or land) or exposure of any Person with respect to Hazardous Substances or otherwise relating to the production, use, storage, treatment, transportation, recycling, disposal, discharge, release or other handling of any Hazardous Substances, or the investigation, clean-up or remediation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rPr>
        <w:t>Environmental Permits</w:t>
      </w:r>
      <w:r>
        <w:rPr>
          <w:rFonts w:ascii="Times New Roman;Times;Serif" w:hAnsi="Times New Roman;Times;Serif"/>
          <w:b w:val="false"/>
          <w:i w:val="false"/>
          <w:caps w:val="false"/>
          <w:smallCaps w:val="false"/>
          <w:sz w:val="20"/>
        </w:rPr>
        <w:t>” means any Permit, registration, notice or identification number required under any applicable Environmental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Equity Interest</w:t>
      </w:r>
      <w:r>
        <w:rPr>
          <w:rFonts w:ascii="Times New Roman;Times;Serif" w:hAnsi="Times New Roman;Times;Serif"/>
          <w:b w:val="false"/>
          <w:i w:val="false"/>
          <w:caps w:val="false"/>
          <w:smallCaps w:val="false"/>
          <w:sz w:val="20"/>
        </w:rPr>
        <w:t>” means any (a) share, capital stock, partnership, limited liability company, member or similar equity interest in any Person, (b) other ownership interests of any Person, (c) phantom equity interests, stock appreciation rights, and other similar interests and (d) any warrant, option, convertible or exchangeable security, subscription, right (including any preemptive or similar right), call or other rights to purchase or acquire any of the foregoing from the issuer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as amended, and any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means any entity, trade or business (whether or not incorporated) that is, or at any applicable time was, a member of a group described in Section 414(b), (c), (m) or (o) of the Code or Section 4001(b)(1) of ERISA that includes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means the Financial Industry Regulatory Authority, Inc., and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Fraud</w:t>
      </w:r>
      <w:r>
        <w:rPr>
          <w:rFonts w:ascii="Times New Roman;Times;Serif" w:hAnsi="Times New Roman;Times;Serif"/>
          <w:b w:val="false"/>
          <w:i w:val="false"/>
          <w:caps w:val="false"/>
          <w:smallCaps w:val="false"/>
          <w:sz w:val="20"/>
        </w:rPr>
        <w:t>” means an actual and intentional misrepresentation of a material fact with respect to the making of any representation or warranty in Article III or Article IV, made by such party (in each case, as modified or supplemented by the party’s Disclosure Schedule), which constitutes actual common law fraud in the state of Nevada (a) with respect to Company, with Company’s Knowledge of such Fraud or (b) with respect to Buyer Parties, to Buyer Parties’ actual knowledge, of such Fraud. For the avoidance of doubt, Fraud shall not include any claim for equitable fraud, constructive fraud, promissory fraud, unfair dealings fraud, fraud by negligent misrepresentations or any tort based on negligence.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Free or Open Source Software</w:t>
      </w:r>
      <w:r>
        <w:rPr>
          <w:rFonts w:ascii="Times New Roman;Times;Serif" w:hAnsi="Times New Roman;Times;Serif"/>
          <w:b w:val="false"/>
          <w:i w:val="false"/>
          <w:caps w:val="false"/>
          <w:smallCaps w:val="false"/>
          <w:sz w:val="20"/>
        </w:rPr>
        <w:t>” means any Software (in source or object code form) that is subject to (a) a license or other agreement commonly referred to as an open source, free software, copyleft or community source code license (including any code or library licensed under the GNU General Public License, GNU Lesser General Public License, GNU Affero General Public License, BSD License, Apache Software License, MIT License, Common Public License or similar terms or any other public source code license arrangement); or (b) any other license or other agreement that requires, as a condition of the use, modification or distribution of Software subject to such license or agreement, that such Software or other Software linked with, called by, combined or distributed with such Software be (i) disclosed, distributed, made available, offered, licensed or delivered in Source Code form, (ii) licensed for the purpose of making derivative works, (iii) licensed under terms that allow reverse engineering, reverse assembly or disassembly of any kind, or (iv) redistributable at no charge, including any license defined as an open source license by the Open Source Initiative as set forth on www.opensource.org.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consistently applied,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Government Official</w:t>
      </w:r>
      <w:r>
        <w:rPr>
          <w:rFonts w:ascii="Times New Roman;Times;Serif" w:hAnsi="Times New Roman;Times;Serif"/>
          <w:b w:val="false"/>
          <w:i w:val="false"/>
          <w:caps w:val="false"/>
          <w:smallCaps w:val="false"/>
          <w:sz w:val="20"/>
        </w:rPr>
        <w:t>” means any (a) officer, agent, or employee of a Governmental Authority or a public international organization, (b) person acting in an official capacity for or on behalf of a Governmental Authority or a public international organization, (c) candidate for government or political office or (d) member of a royal family.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government, governmental, quasi-governmental or regulatory entity, authority, self-regulatory authority, or body (including any central bank or trans-governmental or supranational entity or authority), department, commission, bureau, council, board, minister, agency, or instrumentality, and any court, tribunal, mediator, arbitrator or arbitral body (public or private) or judicial body, in each case whether federal, state, county or provincial, and whether local or foreign.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rPr>
        <w:t>Hazardous Substance</w:t>
      </w:r>
      <w:r>
        <w:rPr>
          <w:rFonts w:ascii="Times New Roman;Times;Serif" w:hAnsi="Times New Roman;Times;Serif"/>
          <w:b w:val="false"/>
          <w:i w:val="false"/>
          <w:caps w:val="false"/>
          <w:smallCaps w:val="false"/>
          <w:sz w:val="20"/>
        </w:rPr>
        <w:t>” means any substance, material or waste that is characterized or regulated by a Governmental Authority pursuant to any Environmental Law as “hazardous,” “pollutant,” “contaminant,” “toxic” or “radioactive,” or for which liability or standards of conduct may be imposed pursuant to any Environmental Law, including petroleum and petroleum products, polychlorinated biphenyls, per- and polyfluoroalkyl substances and friable asbestos.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with respect to any Person, without duplication, as of the date of determination, (a) all indebtedness for money borrowed by a Person (including any principal, premium, accrued and unpaid interest, related expenses, prepayment penalties, commitment and other fees, sale or liquidity participation amounts, reimbursements, indemnities and all other amounts payable in connection therewith), (b) liabilities evidenced by bonds, debentures, notes or other similar instruments or debt securities; (c) liabilities pursuant to or in connection with letters of credit or banker’s acceptances or similar items (in each case if drawn); (d) liabilities pursuant to leases required to be capitalized under GAAP; (e) liabilities arising out of interest rate and currency swap arrangements and any other arrangements designed to provide protection against fluctuations in interest or currency rates; (f) deferred purchase price liabilities related to past acquisitions (including any earnouts, seller notes, contingent payments or similar obligations) other than contingent indemnification obligations that have not matured and as to which no claims have been made, or to the Knowledge of the Company, threatened; and (g) indebtedness of other Persons described in clauses (a) through (g) above guaranteed by the Company or secured by any Lien or security interest on the assets of the Company (other than, in any case, (i) accounts payable to trade creditors and accrued expenses, in each case arising in the ordinary course of business and (ii) liabilities or obligations solely between the Company and any wholly owned Subsidiary or solely between any wholly owned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rPr>
        <w:t>Insolvency Event</w:t>
      </w:r>
      <w:r>
        <w:rPr>
          <w:rFonts w:ascii="Times New Roman;Times;Serif" w:hAnsi="Times New Roman;Times;Serif"/>
          <w:b w:val="false"/>
          <w:i w:val="false"/>
          <w:caps w:val="false"/>
          <w:smallCaps w:val="false"/>
          <w:sz w:val="20"/>
        </w:rPr>
        <w:t>” means the Company filing a petition under any chapter of the United States Bankruptcy Code or under the laws of any other jurisdiction naming the Company as a debtor; or any such petition is filed or proceeding commenced involuntarily against the Company; or the Company institutes (by petition, application, answer, consent or otherwise) any bankruptcy, insolvency, reorganization, debt arrangement, dissolution, receivership, liquidation or similar proceeding under the laws of any jurisdiction; or any such proceeding is filed, commenced or instituted (by petition, application or otherwise) against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intellectual property of any type, and all rights therein and related thereto, anywhere in the world, whether statutory, common law or otherwise, including: (i) all patents, utility models and applications therefor, including any continuations, divisionals, continuations-in-part, provisionals, reissues, reexaminations, substitutes and extensions of any of the foregoing (“</w:t>
      </w:r>
      <w:r>
        <w:rPr>
          <w:rFonts w:ascii="Times New Roman;Times;Serif" w:hAnsi="Times New Roman;Times;Serif"/>
          <w:b/>
          <w:i w:val="false"/>
          <w:caps w:val="false"/>
          <w:smallCaps w:val="false"/>
          <w:sz w:val="20"/>
        </w:rPr>
        <w:t>Patents</w:t>
      </w:r>
      <w:r>
        <w:rPr>
          <w:rFonts w:ascii="Times New Roman;Times;Serif" w:hAnsi="Times New Roman;Times;Serif"/>
          <w:b w:val="false"/>
          <w:i w:val="false"/>
          <w:caps w:val="false"/>
          <w:smallCaps w:val="false"/>
          <w:sz w:val="20"/>
        </w:rPr>
        <w:t>”); (ii) works of authorship and creative works and all copyrights and other all legal rights regarding and means for protection of works of authorship and creative works, whether registered or common law, and all copyright registrations and applications therefor and all other rights corresponding thereto throughout the world (“</w:t>
      </w:r>
      <w:r>
        <w:rPr>
          <w:rFonts w:ascii="Times New Roman;Times;Serif" w:hAnsi="Times New Roman;Times;Serif"/>
          <w:b/>
          <w:i w:val="false"/>
          <w:caps w:val="false"/>
          <w:smallCaps w:val="false"/>
          <w:sz w:val="20"/>
        </w:rPr>
        <w:t>Copyrights</w:t>
      </w:r>
      <w:r>
        <w:rPr>
          <w:rFonts w:ascii="Times New Roman;Times;Serif" w:hAnsi="Times New Roman;Times;Serif"/>
          <w:b w:val="false"/>
          <w:i w:val="false"/>
          <w:caps w:val="false"/>
          <w:smallCaps w:val="false"/>
          <w:sz w:val="20"/>
        </w:rPr>
        <w:t>”); (iii) trademarks, service marks, trade names, brands, corporate and business names, trade dress rights, and other designations of origin and rights therein, whether or not registered, including all common law rights thereto, all registrations and applications for registration thereof, together with all goodwill associated with any of the foregoing (“</w:t>
      </w:r>
      <w:r>
        <w:rPr>
          <w:rFonts w:ascii="Times New Roman;Times;Serif" w:hAnsi="Times New Roman;Times;Serif"/>
          <w:b/>
          <w:i w:val="false"/>
          <w:caps w:val="false"/>
          <w:smallCaps w:val="false"/>
          <w:sz w:val="20"/>
        </w:rPr>
        <w:t>Marks</w:t>
      </w:r>
      <w:r>
        <w:rPr>
          <w:rFonts w:ascii="Times New Roman;Times;Serif" w:hAnsi="Times New Roman;Times;Serif"/>
          <w:b w:val="false"/>
          <w:i w:val="false"/>
          <w:caps w:val="false"/>
          <w:smallCaps w:val="false"/>
          <w:sz w:val="20"/>
        </w:rPr>
        <w:t>”); (iv) all rights in mask works, and all mask work registrations and applications therefor; (v) rights in trade secrets, know how, and confidential or proprietary information; (vi) data, databases, data sets, and compilation of data; (vii) domain names, uniform resource locators (URLs), and IP addresses; (viii) social media or other online accounts, all associated user names, handles, or other identifiers, and all applicable passwords or other user credentials; (ix) rights of publicity and privacy; (x) moral rights; and (xi) any other intellectual property or proprietary rights or similar, corresponding or equivalent rights to any of the foregoing anywhere in the world. Intellectual Property shall include all right and power to assert, defend, and recover title to any of the foregoing, rights to assert, defend, and recover for any past, present, and future infringement, misuse, misappropriation, impairment, unauthorized use, or other violation of any of the foregoing, and administrative rights arising from the foregoing, including the right to prosecute applications and oppose, interfere with or challenge the applications of others, the rights to obtain renewals, continuations, divisions, and extensions of legal protection pertaining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means any Person that has committed to provide, or otherwise provides, equity, debt or other financing to the Company in connection with a PIPE financing, including pursuant to any subscription agreement, purchase agreement, commitment letter or similar agreement entered into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means the United States Internal Revenue Service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xml:space="preserve">” of the Company, with respect to any matter in question, means the actual knowledge of the individuals set forth on </w:t>
      </w:r>
      <w:r>
        <w:rPr>
          <w:rFonts w:ascii="Times New Roman;Times;Serif" w:hAnsi="Times New Roman;Times;Serif"/>
          <w:b w:val="false"/>
          <w:i w:val="false"/>
          <w:caps w:val="false"/>
          <w:smallCaps w:val="false"/>
          <w:sz w:val="20"/>
          <w:u w:val="single"/>
        </w:rPr>
        <w:t>Section 10.1(46)</w:t>
      </w:r>
      <w:r>
        <w:rPr>
          <w:rFonts w:ascii="Times New Roman;Times;Serif" w:hAnsi="Times New Roman;Times;Serif"/>
          <w:b w:val="false"/>
          <w:i w:val="false"/>
          <w:caps w:val="false"/>
          <w:smallCaps w:val="false"/>
          <w:sz w:val="20"/>
        </w:rPr>
        <w:t xml:space="preserve"> of the Company Disclosure Schedule, in each case after reasonable inquiry of their direct reports who would reasonably be expected to have actual knowledge of the matter in question.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any foreign, local, state or federal law, common law, statute, ordinance, code, rule or regulation, order, executive order, judgment, injunction, governmental guideline or interpretation that has the force of law, Permit, decree or other similar requirement enacted, adopted, promulgated or applied by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i w:val="false"/>
          <w:caps w:val="false"/>
          <w:smallCaps w:val="false"/>
          <w:sz w:val="20"/>
        </w:rPr>
        <w:t>Legal Proceeding</w:t>
      </w:r>
      <w:r>
        <w:rPr>
          <w:rFonts w:ascii="Times New Roman;Times;Serif" w:hAnsi="Times New Roman;Times;Serif"/>
          <w:b w:val="false"/>
          <w:i w:val="false"/>
          <w:caps w:val="false"/>
          <w:smallCaps w:val="false"/>
          <w:sz w:val="20"/>
        </w:rPr>
        <w:t>” means any claim, action, suit, charge, lawsuit, investigation, litigation, or other proceeding, hearing, audit, examination, investigation, arbitration, or mediation pending by or before any Governmental Authority, arbitrator, mediator or other tribunal.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any lien, pledge, hypothecation, charge, mortgage, security interest, option, right of first refusal, preemptive right, community property interest, restriction on the voting of any security, restriction on the transfer of any security or other asset, or restriction on the possession, exercise or transfer of any other attribute of ownership of any asset or any other encumbrance of any kind or nature whatsoever, whether contingent or absolute.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means a multiemployer plan within the meaning of Section 3(37) of ERISA.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means the Office of Foreign Assets Control of the U.S. Department of the Treasury.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means, with respect to any Person, any order, judgment, decision, decree, injunction, ruling, writ, assessment or other similar requirement issued, enacted, adopted, promulgated or applied by any Governmental Authority that is binding on or applicable to such Person or its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 Parent Acquisition Financing</w:t>
      </w:r>
      <w:r>
        <w:rPr>
          <w:rFonts w:ascii="Times New Roman;Times;Serif" w:hAnsi="Times New Roman;Times;Serif"/>
          <w:b w:val="false"/>
          <w:i w:val="false"/>
          <w:caps w:val="false"/>
          <w:smallCaps w:val="false"/>
          <w:sz w:val="20"/>
        </w:rPr>
        <w:t>” means financing that results in an aggregate amount of cash proceeds of not less than $3,000,000 to Parent (or any direct or indirect Affiliate thereof) upon the terms and subject to conditions acceptable to Parent and Merger Sub in their sole discretion, which financing if provided pursuant to a debt arrangement, will be assumed by the Surviving Corporation in connection with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i w:val="false"/>
          <w:caps w:val="false"/>
          <w:smallCaps w:val="false"/>
          <w:sz w:val="20"/>
        </w:rPr>
        <w:t>Parent Documents</w:t>
      </w:r>
      <w:r>
        <w:rPr>
          <w:rFonts w:ascii="Times New Roman;Times;Serif" w:hAnsi="Times New Roman;Times;Serif"/>
          <w:b w:val="false"/>
          <w:i w:val="false"/>
          <w:caps w:val="false"/>
          <w:smallCaps w:val="false"/>
          <w:sz w:val="20"/>
        </w:rPr>
        <w:t>” means (a) the certificate of formation, articles of organization, operating agreement and any other organizational or constitutive documents of Parent, in each case as amended, restated, supplemented or otherwise modified from time to time, and (b) any agreements, instruments or other documents pursuant to which any equity interests of Parent have been or will be issued to, or otherwise acquired or held by, any Affiliate of the Company, including any subscription agreements, purchase agreements, equity incentive arrangements, options, units, warrants or similar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i w:val="false"/>
          <w:caps w:val="false"/>
          <w:smallCaps w:val="false"/>
          <w:sz w:val="20"/>
        </w:rPr>
        <w:t>Parent Material Adverse Effect</w:t>
      </w:r>
      <w:r>
        <w:rPr>
          <w:rFonts w:ascii="Times New Roman;Times;Serif" w:hAnsi="Times New Roman;Times;Serif"/>
          <w:b w:val="false"/>
          <w:i w:val="false"/>
          <w:caps w:val="false"/>
          <w:smallCaps w:val="false"/>
          <w:sz w:val="20"/>
        </w:rPr>
        <w:t>” means any Effect that, individually or taken together with all other Effects that exist at the date of determination of the occurrence of a Parent Material Adverse Effect, would reasonably be expected to prevent or materially delay the ability of Parent or Merger Sub to perform its obligations under this Agreement or to consummate the Merger and the other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i w:val="false"/>
          <w:caps w:val="false"/>
          <w:smallCaps w:val="false"/>
          <w:sz w:val="20"/>
        </w:rPr>
        <w:t>Parent Related Parties</w:t>
      </w:r>
      <w:r>
        <w:rPr>
          <w:rFonts w:ascii="Times New Roman;Times;Serif" w:hAnsi="Times New Roman;Times;Serif"/>
          <w:b w:val="false"/>
          <w:i w:val="false"/>
          <w:caps w:val="false"/>
          <w:smallCaps w:val="false"/>
          <w:sz w:val="20"/>
        </w:rPr>
        <w:t>” means, collectively: (A) Parent and Merger Sub; and (B) the former, current and future holders of any equity, controlling persons, Representatives, Affiliates (other than Parent or Merger Sub), members, managers, general or limited partners, stockholders and assignees of each of Parent and Merger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xml:space="preserve">” ” means any of the following: (i) liens for Taxes, assessments and governmental charges or levies either not yet delinquent or that are being contested in good faith and by appropriate proceedings and for which appropriate reserves have been established to the extent required by GAAP; (ii) mechanics, carriers’, workmen’s, warehouseman’s, repairmen’s, materialmen’s or other liens or security interests arising or incurred in the ordinary course of business which are not overdue by more than thirty (30) days, that are dissolved by bond or insured over, or that are being contested in good faith and by appropriate proceedings and for which appropriate reserves have been established to the extent required by GAAP; (iii) the interests of third Person lessors and sublessors of any Company Leased Real Property, including without limitation, any Company Real Property Lease, (iv) pledges or deposits to secure obligations pursuant to workers’ compensation Laws or similar legislation or to secure public or statutory obligations; (v) pledges and deposits to secure the performance of bids, trade contracts, leases, surety and appeal bonds, performance bonds and other obligations of a similar nature, in each case in the ordinary course of business consistent with past practice; (vi) defects, imperfections or irregularities in title, easements, covenants and rights of way (unrecorded and of record), and other similar liens (or other encumbrances of any type), and zoning, building and other similar codes or restrictions, in each case that do not, and are not reasonably likely to, adversely affect in any material respect the current use or value of the applicable property owned, leased, used or held for use by the Company Group and in each case not in violation of any Company Material Contract; (vii) non-exclusive licenses of Intellectual Property made in the ordinary course of business consistent with past practice; (viii) statutory, common law or contractual liens of landlords under real property leases, (ix) liens, encumbrances and restrictions imposed on the interests of the landlord or owner of any Company Leased Real Property, (x) any liens or other matters set forth in any title policy held by the Company and disclosed to the Buyer Parties prior to the date hereof and all matters of record; (xi) all liens securing Indebtedness of the Company set forth in </w:t>
      </w:r>
      <w:r>
        <w:rPr>
          <w:rFonts w:ascii="Times New Roman;Times;Serif" w:hAnsi="Times New Roman;Times;Serif"/>
          <w:b w:val="false"/>
          <w:i w:val="false"/>
          <w:caps w:val="false"/>
          <w:smallCaps w:val="false"/>
          <w:sz w:val="20"/>
          <w:u w:val="single"/>
        </w:rPr>
        <w:t>Section 3.5(d)</w:t>
      </w:r>
      <w:r>
        <w:rPr>
          <w:rFonts w:ascii="Times New Roman;Times;Serif" w:hAnsi="Times New Roman;Times;Serif"/>
          <w:b w:val="false"/>
          <w:i w:val="false"/>
          <w:caps w:val="false"/>
          <w:smallCaps w:val="false"/>
          <w:sz w:val="20"/>
        </w:rPr>
        <w:t xml:space="preserve"> of the Company Disclosure Schedule; or (xii) liens created or approved in writing by Buyer Parties after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(a) any information or data that alone or together with any other data or information can be used to identify, directly or indirectly, an individual or otherwise relates to an identified or identifiable individual, or (b) any data defined under applicable Law as “personal data,” “personal information,” or “personally identifiable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i w:val="false"/>
          <w:caps w:val="false"/>
          <w:smallCaps w:val="false"/>
          <w:sz w:val="20"/>
        </w:rPr>
        <w:t>PPACA</w:t>
      </w:r>
      <w:r>
        <w:rPr>
          <w:rFonts w:ascii="Times New Roman;Times;Serif" w:hAnsi="Times New Roman;Times;Serif"/>
          <w:b w:val="false"/>
          <w:i w:val="false"/>
          <w:caps w:val="false"/>
          <w:smallCaps w:val="false"/>
          <w:sz w:val="20"/>
        </w:rPr>
        <w:t>” means the Patient Protection and Affordable Care Act of 2010, as amended, and any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i w:val="false"/>
          <w:caps w:val="false"/>
          <w:smallCaps w:val="false"/>
          <w:sz w:val="20"/>
        </w:rPr>
        <w:t>Registered Intellectual Property</w:t>
      </w:r>
      <w:r>
        <w:rPr>
          <w:rFonts w:ascii="Times New Roman;Times;Serif" w:hAnsi="Times New Roman;Times;Serif"/>
          <w:b w:val="false"/>
          <w:i w:val="false"/>
          <w:caps w:val="false"/>
          <w:smallCaps w:val="false"/>
          <w:sz w:val="20"/>
        </w:rPr>
        <w:t>” means all United States, international and foreign: (i) Patents and Patent applications (including provisional applications); (ii) registered Marks and applications to register Marks (including intent-to-use applications, or other registrations or applications related to Marks); (iii) domain name registrations; and (iv) registered Copyrights and applications for Copyright registration, in each case, registered or subject to any application for registration with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i w:val="false"/>
          <w:caps w:val="false"/>
          <w:smallCaps w:val="false"/>
          <w:sz w:val="20"/>
        </w:rPr>
        <w:t>Related Party</w:t>
      </w:r>
      <w:r>
        <w:rPr>
          <w:rFonts w:ascii="Times New Roman;Times;Serif" w:hAnsi="Times New Roman;Times;Serif"/>
          <w:b w:val="false"/>
          <w:i w:val="false"/>
          <w:caps w:val="false"/>
          <w:smallCaps w:val="false"/>
          <w:sz w:val="20"/>
        </w:rPr>
        <w:t>” means the Company Related Parties or the Parent Related Parties,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w:t>
      </w:r>
      <w:r>
        <w:rPr>
          <w:rFonts w:ascii="Times New Roman;Times;Serif" w:hAnsi="Times New Roman;Times;Serif"/>
          <w:b/>
          <w:i w:val="false"/>
          <w:caps w:val="false"/>
          <w:smallCaps w:val="false"/>
          <w:sz w:val="20"/>
        </w:rPr>
        <w:t>Release</w:t>
      </w:r>
      <w:r>
        <w:rPr>
          <w:rFonts w:ascii="Times New Roman;Times;Serif" w:hAnsi="Times New Roman;Times;Serif"/>
          <w:b w:val="false"/>
          <w:i w:val="false"/>
          <w:caps w:val="false"/>
          <w:smallCaps w:val="false"/>
          <w:sz w:val="20"/>
        </w:rPr>
        <w:t>” means disposing, discharging, injecting, spilling, leaking, pumping, pouring, leaching, dumping, emitting, escaping or emptying into or upon the environment, including any soil, sediment, subsurface strata, surface water, groundwater, ambient air, the atmosphere or any other media.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means, with respect to a Person, its directors, officers, employees, agents, contractors, consultants, counsel, advisors and other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i w:val="false"/>
          <w:caps w:val="false"/>
          <w:smallCaps w:val="false"/>
          <w:sz w:val="20"/>
        </w:rPr>
        <w:t>Requisite Stockholder Approvals</w:t>
      </w:r>
      <w:r>
        <w:rPr>
          <w:rFonts w:ascii="Times New Roman;Times;Serif" w:hAnsi="Times New Roman;Times;Serif"/>
          <w:b w:val="false"/>
          <w:i w:val="false"/>
          <w:caps w:val="false"/>
          <w:smallCaps w:val="false"/>
          <w:sz w:val="20"/>
        </w:rPr>
        <w:t>” means the Company Stockholder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means, at any time, a country or territory that is itself the target of comprehensive Sanctions (including without limitation as of the date of this Agreement, Cuba, Iran, North Korea, Syria, the Crimea region of Ukraine, the so-called Donetsk People’s Republic region of Ukraine, and the so-called Luhansk People’s Republic region of Ukraine).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means any Person that is the subject or target of Sanctions, including (i) any Person listed in any Sanctions-related list of designated Persons maintained by OFAC or the U.S. Department of State, the United Nations Security Council, the European Union, any Member State of the European Union, or the United Kingdom; (ii) any Person operating from, organized, or resident in, or a national of, a Sanctioned Country; (iii) the government of a Sanctioned Country or the Government of Venezuela; or (iv) any Person that is directly or indirectly 50% or more owned (whether individually or in the aggregate) or controlled by, or acting for or on behalf of, any such Person or Persons described in (i)-(iii)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(i) the U.S. government, including those administered by OFAC and the U.S. Department of State and (ii) the United Nations Security Council, the European Union, any European Union member state and His Majesty’s Treasury of the United Kingdom.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means the Sarbanes-Oxley Act of 2002,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i w:val="false"/>
          <w:caps w:val="false"/>
          <w:smallCaps w:val="false"/>
          <w:sz w:val="20"/>
        </w:rPr>
        <w:t>Service Provider</w:t>
      </w:r>
      <w:r>
        <w:rPr>
          <w:rFonts w:ascii="Times New Roman;Times;Serif" w:hAnsi="Times New Roman;Times;Serif"/>
          <w:b w:val="false"/>
          <w:i w:val="false"/>
          <w:caps w:val="false"/>
          <w:smallCaps w:val="false"/>
          <w:sz w:val="20"/>
        </w:rPr>
        <w:t>” means any employee, officer, individual independent contractor, director or other individual service provider to the Company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w:t>
      </w:r>
      <w:r>
        <w:rPr>
          <w:rFonts w:ascii="Times New Roman;Times;Serif" w:hAnsi="Times New Roman;Times;Serif"/>
          <w:b/>
          <w:i w:val="false"/>
          <w:caps w:val="false"/>
          <w:smallCaps w:val="false"/>
          <w:sz w:val="20"/>
        </w:rPr>
        <w:t>Software</w:t>
      </w:r>
      <w:r>
        <w:rPr>
          <w:rFonts w:ascii="Times New Roman;Times;Serif" w:hAnsi="Times New Roman;Times;Serif"/>
          <w:b w:val="false"/>
          <w:i w:val="false"/>
          <w:caps w:val="false"/>
          <w:smallCaps w:val="false"/>
          <w:sz w:val="20"/>
        </w:rPr>
        <w:t>” means all computer software of any kind, in any form (including Source Code, object code, or other form), format, or programming language, including all programs, applications, routines, interfaces, libraries, modules, databases, tools, algorithms, compilers, files, all versions, updates, corrections, enhancements, replacements, and modifications of any of the foregoing, all related documentation, and all materials used to design, maintain, support or develop any of the foregoing.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i w:val="false"/>
          <w:caps w:val="false"/>
          <w:smallCaps w:val="false"/>
          <w:sz w:val="20"/>
        </w:rPr>
        <w:t>Source Code</w:t>
      </w:r>
      <w:r>
        <w:rPr>
          <w:rFonts w:ascii="Times New Roman;Times;Serif" w:hAnsi="Times New Roman;Times;Serif"/>
          <w:b w:val="false"/>
          <w:i w:val="false"/>
          <w:caps w:val="false"/>
          <w:smallCaps w:val="false"/>
          <w:sz w:val="20"/>
        </w:rPr>
        <w:t>” means computer Software and code, in form other than object code or machine readable form, including related programmer comments and annotations, help text, data and data structures, instructions and procedural, object-oriented and other code, which may be printed out or displayed in human readable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i w:val="false"/>
          <w:caps w:val="false"/>
          <w:smallCaps w:val="false"/>
          <w:sz w:val="20"/>
        </w:rPr>
        <w:t>Specified Person</w:t>
      </w:r>
      <w:r>
        <w:rPr>
          <w:rFonts w:ascii="Times New Roman;Times;Serif" w:hAnsi="Times New Roman;Times;Serif"/>
          <w:b w:val="false"/>
          <w:i w:val="false"/>
          <w:caps w:val="false"/>
          <w:smallCaps w:val="false"/>
          <w:sz w:val="20"/>
        </w:rPr>
        <w:t xml:space="preserve">” means any director or executive officer of the Company, and any Person authorized on behalf of or directed by the Company, the Company Board or any director or executive officer of the Company (in their capacities as such) in connection with any of the activities restricted or limited by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i w:val="false"/>
          <w:caps w:val="false"/>
          <w:smallCaps w:val="false"/>
          <w:sz w:val="20"/>
        </w:rPr>
        <w:t>Stockholders</w:t>
      </w:r>
      <w:r>
        <w:rPr>
          <w:rFonts w:ascii="Times New Roman;Times;Serif" w:hAnsi="Times New Roman;Times;Serif"/>
          <w:b w:val="false"/>
          <w:i w:val="false"/>
          <w:caps w:val="false"/>
          <w:smallCaps w:val="false"/>
          <w:sz w:val="20"/>
        </w:rPr>
        <w:t>” means the holders of shares of Company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of any Person means (i) a corporation of which more than 50% of the combined voting power of the outstanding voting equity securities of such corporation is owned, directly or indirectly, by such Person or by one or more other Subsidiaries of such Person or by such Person and one or more other Subsidiaries of such Person; (ii) a partnership of which such Person or one or more other Subsidiaries of such Person or such Person and one or more other Subsidiaries thereof, directly or indirectly, is the general partner and has the power to direct the policies, management and affairs of such partnership; (iii) a limited liability company of which such Person or one or more other Subsidiaries of such Person or such Person and one or more other Subsidiaries of such Person, directly or indirectly, is the manager or managing member and has the power to direct the policies, management and affairs of such limited liability company; or (iv) any other Person (other than a corporation, partnership or limited liability company) in which such Person or one or more other Subsidiaries of such Person or such Person and one or more other Subsidiaries of such Person, directly or indirectly, has at least a majority ownership and the power to direct the policies, management and affairs thereof. Notwithstanding anything to the contrary in this Agreement, for purposes of this Agreement following the Closing, the Surviving Corporation will be deemed to be a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i w:val="false"/>
          <w:caps w:val="false"/>
          <w:smallCaps w:val="false"/>
          <w:sz w:val="20"/>
        </w:rPr>
        <w:t>Superior Proposal</w:t>
      </w:r>
      <w:r>
        <w:rPr>
          <w:rFonts w:ascii="Times New Roman;Times;Serif" w:hAnsi="Times New Roman;Times;Serif"/>
          <w:b w:val="false"/>
          <w:i w:val="false"/>
          <w:caps w:val="false"/>
          <w:smallCaps w:val="false"/>
          <w:sz w:val="20"/>
        </w:rPr>
        <w:t>” means any bona fide Acquisition Proposal for an Acquisition Transaction on terms that the Company Board (or a committee thereof) has determined in good faith (after consultation with its financial advisor and outside legal counsel), that if consummated, would be more favorable, from a financial point of view, to the Stockholders (in their capacity as such) than the Merger taking into account (a) any revisions to this Agreement made or proposed in writing by Parent prior to the time of such determination, and (b) those factors and matters deemed relevant in good faith by the Company Board (or any committee thereof), which factors shall include the legal, regulatory and financing aspects of the proposal (including certainty of, and timing of, closing), and the identity of the Person making the proposal. For purposes of the reference to an “Acquisition Proposal” in this definition, all references to “15%” and “85%” in the definition of “Acquisition Transaction” will be deemed to be references to “50%” and “50%”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means any and all federal, state, local, foreign and other taxes, tariffs, customs, duties, assessments and similar governmental charges and impositions in the nature of taxes imposed or assessed by any Governmental Authority, however denominated (including all gross receipts, income, profits, sales, use, occupation, unemployment, value added, ad valorem, transfer, franchise, withholding, payroll, employment, branch, severance, environmental, excise, property and similar taxes), together with all interest, penalties and additions imposed with respect to such amounts, and whether disputed or not, and any interest in respect of such additions or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means any return, declaration, report, election, claim for refund, or information return or other statement or form relating to Taxes, including any schedule or attachment thereto, and including any amendment thereof or supplement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i w:val="false"/>
          <w:caps w:val="false"/>
          <w:smallCaps w:val="false"/>
          <w:sz w:val="20"/>
        </w:rPr>
        <w:t>Termination Fee</w:t>
      </w:r>
      <w:r>
        <w:rPr>
          <w:rFonts w:ascii="Times New Roman;Times;Serif" w:hAnsi="Times New Roman;Times;Serif"/>
          <w:b w:val="false"/>
          <w:i w:val="false"/>
          <w:caps w:val="false"/>
          <w:smallCaps w:val="false"/>
          <w:sz w:val="20"/>
        </w:rPr>
        <w:t>” means “an amount in cash equal to $150,000, which amount is intended to cover the reasonable and documented legal expenses incurred by Parent in connection with this Agreement and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i w:val="false"/>
          <w:caps w:val="false"/>
          <w:smallCaps w:val="false"/>
          <w:sz w:val="20"/>
        </w:rPr>
        <w:t>Trade Controls</w:t>
      </w:r>
      <w:r>
        <w:rPr>
          <w:rFonts w:ascii="Times New Roman;Times;Serif" w:hAnsi="Times New Roman;Times;Serif"/>
          <w:b w:val="false"/>
          <w:i w:val="false"/>
          <w:caps w:val="false"/>
          <w:smallCaps w:val="false"/>
          <w:sz w:val="20"/>
        </w:rPr>
        <w:t>” means (i) all applicable trade, export control, import, human rights Laws and regulations, and antiboycott Laws and 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the U.S. customs regulations at 19 C.F.R. Chapter 1, and the Foreign Trade Regulations (15 C.F.R. Part 30) and (ii) all applicable trade, export control, import, and antiboycott Laws and regulations imposed, administered or enforced by any other country where the Company operates, except to the extent inconsistent with U.S.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i w:val="false"/>
          <w:caps w:val="false"/>
          <w:smallCaps w:val="false"/>
          <w:sz w:val="20"/>
        </w:rPr>
        <w:t>Transaction Litigation</w:t>
      </w:r>
      <w:r>
        <w:rPr>
          <w:rFonts w:ascii="Times New Roman;Times;Serif" w:hAnsi="Times New Roman;Times;Serif"/>
          <w:b w:val="false"/>
          <w:i w:val="false"/>
          <w:caps w:val="false"/>
          <w:smallCaps w:val="false"/>
          <w:sz w:val="20"/>
        </w:rPr>
        <w:t>” means any Legal Proceeding commenced or threatened by any Person (including any current or former holder of Company Common Stock, or any other securities of any member of the Company Group) against a Party or any of its Subsidiaries or any of its or their Affiliates or Representatives or otherwise relating to, involving or affecting such Party or any of its Subsidiaries or any of its or their Affiliates or Representatives, in each case in connection with, arising from or otherwise relating to or regarding the Merger or any other transaction contemplated by this Agreement, including any Legal Proceeding alleging or asserting any misrepresentation or omission in the Proxy Statement, Schedule 13e-3, any Other Required Company Filing or any other communications to the Stockholders, in each case other than any Legal Proceedings solely among the Parties or their respective Affiliates, related to this Agreement, the Transaction Documents or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i w:val="false"/>
          <w:caps w:val="false"/>
          <w:smallCaps w:val="false"/>
          <w:sz w:val="20"/>
        </w:rPr>
        <w:t>Willful Breach</w:t>
      </w:r>
      <w:r>
        <w:rPr>
          <w:rFonts w:ascii="Times New Roman;Times;Serif" w:hAnsi="Times New Roman;Times;Serif"/>
          <w:b w:val="false"/>
          <w:i w:val="false"/>
          <w:caps w:val="false"/>
          <w:smallCaps w:val="false"/>
          <w:sz w:val="20"/>
        </w:rPr>
        <w:t>” means, with respect to any Party, a knowing and intentional material breach or failure to perform that is a direct consequence of an act or omission of such party with the actual knowledge that such act or omission would cause a material breach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val="false"/>
          <w:i/>
          <w:caps w:val="false"/>
          <w:smallCaps w:val="false"/>
          <w:sz w:val="20"/>
        </w:rPr>
        <w:t>Additional Definitions</w:t>
      </w:r>
      <w:r>
        <w:rPr>
          <w:rFonts w:ascii="Times New Roman;Times;Serif" w:hAnsi="Times New Roman;Times;Serif"/>
          <w:b w:val="false"/>
          <w:i w:val="false"/>
          <w:caps w:val="false"/>
          <w:smallCaps w:val="false"/>
          <w:sz w:val="20"/>
        </w:rPr>
        <w:t>. The following capitalized terms have the respective meanings given to them in the respective Sections of this Agreement set forth opposite each of the capitalized terms below:</w:t>
      </w:r>
    </w:p>
    <w:p>
      <w:pPr>
        <w:pStyle w:val="TextBody"/>
        <w:bidi w:val="0"/>
        <w:spacing w:before="0" w:after="0"/>
        <w:ind w:left="0" w:right="0" w:firstLine="720"/>
        <w:jc w:val="both"/>
        <w:rPr>
          <w:caps w:val="false"/>
          <w:smallCaps w:val="false"/>
        </w:rPr>
      </w:pPr>
      <w:r>
        <w:rPr>
          <w:caps w:val="false"/>
          <w:smallCaps w:val="false"/>
        </w:rPr>
        <w:t> </w:t>
      </w:r>
    </w:p>
    <w:tbl>
      <w:tblPr>
        <w:tblW w:w="4510" w:type="dxa"/>
        <w:jc w:val="left"/>
        <w:tblInd w:w="0" w:type="dxa"/>
        <w:tblLayout w:type="fixed"/>
        <w:tblCellMar>
          <w:top w:w="0" w:type="dxa"/>
          <w:left w:w="0" w:type="dxa"/>
          <w:bottom w:w="28" w:type="dxa"/>
          <w:right w:w="0" w:type="dxa"/>
        </w:tblCellMar>
      </w:tblPr>
      <w:tblGrid>
        <w:gridCol w:w="3530"/>
        <w:gridCol w:w="60"/>
        <w:gridCol w:w="920"/>
      </w:tblGrid>
      <w:tr>
        <w:trPr/>
        <w:tc>
          <w:tcPr>
            <w:tcW w:w="353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Section </w:t>
              <w:br/>
              <w:t>Reference</w:t>
            </w:r>
          </w:p>
        </w:tc>
      </w:tr>
      <w:tr>
        <w:trPr/>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left"/>
              <w:rPr/>
            </w:pPr>
            <w:r>
              <w:rPr/>
              <w:t> </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Advance Notice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5.2(d)(i)(1)</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Agreement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Preamble</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Alternative Acquisition Agreement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5.2(a)</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Articles of Merger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4.4</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Buyer Parties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Preamble</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Capitalization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3.2(a)</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Certificates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2.3(c)</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Closing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1.3</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Closing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1.4</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Preamble</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Company Board Recommendation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Recitals</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Company Board Recommendation Change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5.2(c)(i)</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Company Confidential Information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3.17(e)</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Company Data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3.17(l)</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Company Disclosure Schedule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Article III</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Company Financial Statements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3.5(c)</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Company Leased Real Property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3.14(b)</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Company Material Contracts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3.16(c)</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Company Option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2.2(d)</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Company SEC Reports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3.5(a)</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D&amp;O Tail Policies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6.8(b)</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Data Security Incident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3.17(l)</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Dissenting Company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2.1(c)</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DTC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2.3(d)</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DTC Payment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2.3(d)</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Effective Time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1.3</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Electronic Delivery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9.15</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Existing Bylaws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1.5(b)</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Existing Charter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1.5(a)</w:t>
            </w:r>
          </w:p>
        </w:tc>
      </w:tr>
      <w:tr>
        <w:trPr/>
        <w:tc>
          <w:tcPr>
            <w:tcW w:w="3530" w:type="dxa"/>
            <w:tcBorders/>
            <w:shd w:fill="FFFFFF" w:val="clear"/>
            <w:tcMar>
              <w:bottom w:w="0" w:type="dxa"/>
            </w:tcMar>
            <w:vAlign w:val="center"/>
          </w:tcPr>
          <w:p>
            <w:pPr>
              <w:pStyle w:val="TableContents"/>
              <w:bidi w:val="0"/>
              <w:spacing w:before="0" w:after="283"/>
              <w:jc w:val="left"/>
              <w:rPr>
                <w:sz w:val="20"/>
              </w:rPr>
            </w:pPr>
            <w:r>
              <w:rPr>
                <w:sz w:val="20"/>
              </w:rPr>
              <w:t>Enforceability Limitations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left"/>
              <w:rPr>
                <w:sz w:val="20"/>
              </w:rPr>
            </w:pPr>
            <w:r>
              <w:rPr>
                <w:sz w:val="20"/>
              </w:rPr>
              <w:t>3.3</w:t>
            </w:r>
          </w:p>
        </w:tc>
      </w:tr>
      <w:tr>
        <w:trPr/>
        <w:tc>
          <w:tcPr>
            <w:tcW w:w="3530" w:type="dxa"/>
            <w:tcBorders/>
            <w:shd w:fill="CCEEFF" w:val="clear"/>
            <w:tcMar>
              <w:bottom w:w="0" w:type="dxa"/>
            </w:tcMar>
            <w:vAlign w:val="center"/>
          </w:tcPr>
          <w:p>
            <w:pPr>
              <w:pStyle w:val="TableContents"/>
              <w:bidi w:val="0"/>
              <w:spacing w:before="0" w:after="283"/>
              <w:jc w:val="left"/>
              <w:rPr>
                <w:sz w:val="20"/>
              </w:rPr>
            </w:pPr>
            <w:r>
              <w:rPr>
                <w:sz w:val="20"/>
              </w:rPr>
              <w:t>Exchange Fund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sz w:val="20"/>
              </w:rPr>
            </w:pPr>
            <w:r>
              <w:rPr>
                <w:sz w:val="20"/>
              </w:rPr>
              <w:t>2.3(b)</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2660"/>
        <w:gridCol w:w="60"/>
        <w:gridCol w:w="920"/>
      </w:tblGrid>
      <w:tr>
        <w:trPr/>
        <w:tc>
          <w:tcPr>
            <w:tcW w:w="2660" w:type="dxa"/>
            <w:tcBorders/>
            <w:shd w:fill="CCEEFF" w:val="clear"/>
            <w:vAlign w:val="center"/>
          </w:tcPr>
          <w:p>
            <w:pPr>
              <w:pStyle w:val="TableContents"/>
              <w:bidi w:val="0"/>
              <w:spacing w:before="0" w:after="283"/>
              <w:jc w:val="left"/>
              <w:rPr>
                <w:sz w:val="20"/>
              </w:rPr>
            </w:pPr>
            <w:r>
              <w:rPr>
                <w:sz w:val="20"/>
              </w:rPr>
              <w:t>Indemnified Persons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6.8(a)</w:t>
            </w:r>
          </w:p>
        </w:tc>
      </w:tr>
      <w:tr>
        <w:trPr/>
        <w:tc>
          <w:tcPr>
            <w:tcW w:w="2660" w:type="dxa"/>
            <w:tcBorders/>
            <w:shd w:fill="FFFFFF" w:val="clear"/>
            <w:vAlign w:val="center"/>
          </w:tcPr>
          <w:p>
            <w:pPr>
              <w:pStyle w:val="TableContents"/>
              <w:bidi w:val="0"/>
              <w:spacing w:before="0" w:after="283"/>
              <w:jc w:val="left"/>
              <w:rPr>
                <w:sz w:val="20"/>
              </w:rPr>
            </w:pPr>
            <w:r>
              <w:rPr>
                <w:sz w:val="20"/>
              </w:rPr>
              <w:t>Insurance Policies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3.20</w:t>
            </w:r>
          </w:p>
        </w:tc>
      </w:tr>
      <w:tr>
        <w:trPr/>
        <w:tc>
          <w:tcPr>
            <w:tcW w:w="2660" w:type="dxa"/>
            <w:tcBorders/>
            <w:shd w:fill="CCEEFF" w:val="clear"/>
            <w:vAlign w:val="center"/>
          </w:tcPr>
          <w:p>
            <w:pPr>
              <w:pStyle w:val="TableContents"/>
              <w:bidi w:val="0"/>
              <w:spacing w:before="0" w:after="283"/>
              <w:jc w:val="left"/>
              <w:rPr>
                <w:sz w:val="20"/>
              </w:rPr>
            </w:pPr>
            <w:r>
              <w:rPr>
                <w:sz w:val="20"/>
              </w:rPr>
              <w:t>Interim Period</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5.1</w:t>
            </w:r>
          </w:p>
        </w:tc>
      </w:tr>
      <w:tr>
        <w:trPr/>
        <w:tc>
          <w:tcPr>
            <w:tcW w:w="2660" w:type="dxa"/>
            <w:tcBorders/>
            <w:shd w:fill="FFFFFF" w:val="clear"/>
            <w:vAlign w:val="center"/>
          </w:tcPr>
          <w:p>
            <w:pPr>
              <w:pStyle w:val="TableContents"/>
              <w:bidi w:val="0"/>
              <w:spacing w:before="0" w:after="283"/>
              <w:jc w:val="left"/>
              <w:rPr>
                <w:sz w:val="20"/>
              </w:rPr>
            </w:pPr>
            <w:r>
              <w:rPr>
                <w:sz w:val="20"/>
              </w:rPr>
              <w:t>Intervening Event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5.2(d)(i)</w:t>
            </w:r>
          </w:p>
        </w:tc>
      </w:tr>
      <w:tr>
        <w:trPr/>
        <w:tc>
          <w:tcPr>
            <w:tcW w:w="2660" w:type="dxa"/>
            <w:tcBorders/>
            <w:shd w:fill="CCEEFF" w:val="clear"/>
            <w:vAlign w:val="center"/>
          </w:tcPr>
          <w:p>
            <w:pPr>
              <w:pStyle w:val="TableContents"/>
              <w:bidi w:val="0"/>
              <w:spacing w:before="0" w:after="283"/>
              <w:jc w:val="left"/>
              <w:rPr>
                <w:sz w:val="20"/>
              </w:rPr>
            </w:pPr>
            <w:r>
              <w:rPr>
                <w:sz w:val="20"/>
              </w:rPr>
              <w:t>Labor Agreement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3.12(a)</w:t>
            </w:r>
          </w:p>
        </w:tc>
      </w:tr>
      <w:tr>
        <w:trPr/>
        <w:tc>
          <w:tcPr>
            <w:tcW w:w="2660" w:type="dxa"/>
            <w:tcBorders/>
            <w:shd w:fill="FFFFFF" w:val="clear"/>
            <w:vAlign w:val="center"/>
          </w:tcPr>
          <w:p>
            <w:pPr>
              <w:pStyle w:val="TableContents"/>
              <w:bidi w:val="0"/>
              <w:spacing w:before="0" w:after="283"/>
              <w:jc w:val="left"/>
              <w:rPr>
                <w:sz w:val="20"/>
              </w:rPr>
            </w:pPr>
            <w:r>
              <w:rPr>
                <w:sz w:val="20"/>
              </w:rPr>
              <w:t>Lease Agreement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3.16(b)(9)</w:t>
            </w:r>
          </w:p>
        </w:tc>
      </w:tr>
      <w:tr>
        <w:trPr/>
        <w:tc>
          <w:tcPr>
            <w:tcW w:w="2660" w:type="dxa"/>
            <w:tcBorders/>
            <w:shd w:fill="CCEEFF" w:val="clear"/>
            <w:vAlign w:val="center"/>
          </w:tcPr>
          <w:p>
            <w:pPr>
              <w:pStyle w:val="TableContents"/>
              <w:bidi w:val="0"/>
              <w:spacing w:before="0" w:after="283"/>
              <w:jc w:val="left"/>
              <w:rPr>
                <w:sz w:val="20"/>
              </w:rPr>
            </w:pPr>
            <w:r>
              <w:rPr>
                <w:sz w:val="20"/>
              </w:rPr>
              <w:t>Merger</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Recitals</w:t>
            </w:r>
          </w:p>
        </w:tc>
      </w:tr>
      <w:tr>
        <w:trPr/>
        <w:tc>
          <w:tcPr>
            <w:tcW w:w="2660" w:type="dxa"/>
            <w:tcBorders/>
            <w:shd w:fill="FFFFFF" w:val="clear"/>
            <w:vAlign w:val="center"/>
          </w:tcPr>
          <w:p>
            <w:pPr>
              <w:pStyle w:val="TableContents"/>
              <w:bidi w:val="0"/>
              <w:spacing w:before="0" w:after="283"/>
              <w:jc w:val="left"/>
              <w:rPr>
                <w:sz w:val="20"/>
              </w:rPr>
            </w:pPr>
            <w:r>
              <w:rPr>
                <w:sz w:val="20"/>
              </w:rPr>
              <w:t>Merger Sub</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Preamble</w:t>
            </w:r>
          </w:p>
        </w:tc>
      </w:tr>
      <w:tr>
        <w:trPr/>
        <w:tc>
          <w:tcPr>
            <w:tcW w:w="2660" w:type="dxa"/>
            <w:tcBorders/>
            <w:shd w:fill="CCEEFF" w:val="clear"/>
            <w:vAlign w:val="center"/>
          </w:tcPr>
          <w:p>
            <w:pPr>
              <w:pStyle w:val="TableContents"/>
              <w:bidi w:val="0"/>
              <w:spacing w:before="0" w:after="283"/>
              <w:jc w:val="left"/>
              <w:rPr>
                <w:sz w:val="20"/>
              </w:rPr>
            </w:pPr>
            <w:r>
              <w:rPr>
                <w:sz w:val="20"/>
              </w:rPr>
              <w:t>Merger Transactions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Recitals</w:t>
            </w:r>
          </w:p>
        </w:tc>
      </w:tr>
      <w:tr>
        <w:trPr/>
        <w:tc>
          <w:tcPr>
            <w:tcW w:w="2660" w:type="dxa"/>
            <w:tcBorders/>
            <w:shd w:fill="FFFFFF" w:val="clear"/>
            <w:vAlign w:val="center"/>
          </w:tcPr>
          <w:p>
            <w:pPr>
              <w:pStyle w:val="TableContents"/>
              <w:bidi w:val="0"/>
              <w:spacing w:before="0" w:after="283"/>
              <w:jc w:val="left"/>
              <w:rPr>
                <w:sz w:val="20"/>
              </w:rPr>
            </w:pPr>
            <w:r>
              <w:rPr>
                <w:sz w:val="20"/>
              </w:rPr>
              <w:t>New Litigation Claim</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6.11</w:t>
            </w:r>
          </w:p>
        </w:tc>
      </w:tr>
      <w:tr>
        <w:trPr/>
        <w:tc>
          <w:tcPr>
            <w:tcW w:w="2660" w:type="dxa"/>
            <w:tcBorders/>
            <w:shd w:fill="CCEEFF" w:val="clear"/>
            <w:vAlign w:val="center"/>
          </w:tcPr>
          <w:p>
            <w:pPr>
              <w:pStyle w:val="TableContents"/>
              <w:bidi w:val="0"/>
              <w:spacing w:before="0" w:after="283"/>
              <w:jc w:val="left"/>
              <w:rPr>
                <w:sz w:val="20"/>
              </w:rPr>
            </w:pPr>
            <w:r>
              <w:rPr>
                <w:sz w:val="20"/>
              </w:rPr>
              <w:t>Notice Period Expiration</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5.2(d)(i)(2)</w:t>
            </w:r>
          </w:p>
        </w:tc>
      </w:tr>
      <w:tr>
        <w:trPr/>
        <w:tc>
          <w:tcPr>
            <w:tcW w:w="2660" w:type="dxa"/>
            <w:tcBorders/>
            <w:shd w:fill="FFFFFF" w:val="clear"/>
            <w:vAlign w:val="center"/>
          </w:tcPr>
          <w:p>
            <w:pPr>
              <w:pStyle w:val="TableContents"/>
              <w:bidi w:val="0"/>
              <w:spacing w:before="0" w:after="283"/>
              <w:jc w:val="left"/>
              <w:rPr>
                <w:sz w:val="20"/>
              </w:rPr>
            </w:pPr>
            <w:r>
              <w:rPr>
                <w:sz w:val="20"/>
              </w:rPr>
              <w:t>Other Required Company Filing</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6.3(c)</w:t>
            </w:r>
          </w:p>
        </w:tc>
      </w:tr>
      <w:tr>
        <w:trPr/>
        <w:tc>
          <w:tcPr>
            <w:tcW w:w="2660" w:type="dxa"/>
            <w:tcBorders/>
            <w:shd w:fill="CCEEFF" w:val="clear"/>
            <w:vAlign w:val="center"/>
          </w:tcPr>
          <w:p>
            <w:pPr>
              <w:pStyle w:val="TableContents"/>
              <w:bidi w:val="0"/>
              <w:spacing w:before="0" w:after="283"/>
              <w:jc w:val="left"/>
              <w:rPr>
                <w:sz w:val="20"/>
              </w:rPr>
            </w:pPr>
            <w:r>
              <w:rPr>
                <w:sz w:val="20"/>
              </w:rPr>
              <w:t>Other Required Parent Filing</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6.3(d)</w:t>
            </w:r>
          </w:p>
        </w:tc>
      </w:tr>
      <w:tr>
        <w:trPr/>
        <w:tc>
          <w:tcPr>
            <w:tcW w:w="2660" w:type="dxa"/>
            <w:tcBorders/>
            <w:shd w:fill="FFFFFF" w:val="clear"/>
            <w:vAlign w:val="center"/>
          </w:tcPr>
          <w:p>
            <w:pPr>
              <w:pStyle w:val="TableContents"/>
              <w:bidi w:val="0"/>
              <w:spacing w:before="0" w:after="283"/>
              <w:jc w:val="left"/>
              <w:rPr>
                <w:sz w:val="20"/>
              </w:rPr>
            </w:pPr>
            <w:r>
              <w:rPr>
                <w:sz w:val="20"/>
              </w:rPr>
              <w:t>Owned Company Share</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2.1(a)(ii)</w:t>
            </w:r>
          </w:p>
        </w:tc>
      </w:tr>
      <w:tr>
        <w:trPr/>
        <w:tc>
          <w:tcPr>
            <w:tcW w:w="2660" w:type="dxa"/>
            <w:tcBorders/>
            <w:shd w:fill="CCEEFF" w:val="clear"/>
            <w:vAlign w:val="center"/>
          </w:tcPr>
          <w:p>
            <w:pPr>
              <w:pStyle w:val="TableContents"/>
              <w:bidi w:val="0"/>
              <w:spacing w:before="0" w:after="283"/>
              <w:jc w:val="left"/>
              <w:rPr>
                <w:sz w:val="20"/>
              </w:rPr>
            </w:pPr>
            <w:r>
              <w:rPr>
                <w:sz w:val="20"/>
              </w:rPr>
              <w:t>Parent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Preamble</w:t>
            </w:r>
          </w:p>
        </w:tc>
      </w:tr>
      <w:tr>
        <w:trPr/>
        <w:tc>
          <w:tcPr>
            <w:tcW w:w="2660" w:type="dxa"/>
            <w:tcBorders/>
            <w:shd w:fill="FFFFFF" w:val="clear"/>
            <w:vAlign w:val="center"/>
          </w:tcPr>
          <w:p>
            <w:pPr>
              <w:pStyle w:val="TableContents"/>
              <w:bidi w:val="0"/>
              <w:spacing w:before="0" w:after="283"/>
              <w:jc w:val="left"/>
              <w:rPr>
                <w:sz w:val="20"/>
              </w:rPr>
            </w:pPr>
            <w:r>
              <w:rPr>
                <w:sz w:val="20"/>
              </w:rPr>
              <w:t>Parent Employee Benefit Plan</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6.16(c)</w:t>
            </w:r>
          </w:p>
        </w:tc>
      </w:tr>
      <w:tr>
        <w:trPr/>
        <w:tc>
          <w:tcPr>
            <w:tcW w:w="2660" w:type="dxa"/>
            <w:tcBorders/>
            <w:shd w:fill="CCEEFF" w:val="clear"/>
            <w:vAlign w:val="center"/>
          </w:tcPr>
          <w:p>
            <w:pPr>
              <w:pStyle w:val="TableContents"/>
              <w:bidi w:val="0"/>
              <w:spacing w:before="0" w:after="283"/>
              <w:jc w:val="left"/>
              <w:rPr>
                <w:sz w:val="20"/>
              </w:rPr>
            </w:pPr>
            <w:r>
              <w:rPr>
                <w:sz w:val="20"/>
              </w:rPr>
              <w:t>Party</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Preamble</w:t>
            </w:r>
          </w:p>
        </w:tc>
      </w:tr>
      <w:tr>
        <w:trPr/>
        <w:tc>
          <w:tcPr>
            <w:tcW w:w="2660" w:type="dxa"/>
            <w:tcBorders/>
            <w:shd w:fill="FFFFFF" w:val="clear"/>
            <w:vAlign w:val="center"/>
          </w:tcPr>
          <w:p>
            <w:pPr>
              <w:pStyle w:val="TableContents"/>
              <w:bidi w:val="0"/>
              <w:spacing w:before="0" w:after="283"/>
              <w:jc w:val="left"/>
              <w:rPr>
                <w:sz w:val="20"/>
              </w:rPr>
            </w:pPr>
            <w:r>
              <w:rPr>
                <w:sz w:val="20"/>
              </w:rPr>
              <w:t>Payment Agent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2.3(a)</w:t>
            </w:r>
          </w:p>
        </w:tc>
      </w:tr>
      <w:tr>
        <w:trPr/>
        <w:tc>
          <w:tcPr>
            <w:tcW w:w="2660" w:type="dxa"/>
            <w:tcBorders/>
            <w:shd w:fill="CCEEFF" w:val="clear"/>
            <w:vAlign w:val="center"/>
          </w:tcPr>
          <w:p>
            <w:pPr>
              <w:pStyle w:val="TableContents"/>
              <w:bidi w:val="0"/>
              <w:spacing w:before="0" w:after="283"/>
              <w:jc w:val="left"/>
              <w:rPr>
                <w:sz w:val="20"/>
              </w:rPr>
            </w:pPr>
            <w:r>
              <w:rPr>
                <w:sz w:val="20"/>
              </w:rPr>
              <w:t>Payroll Processor</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2.2(d)</w:t>
            </w:r>
          </w:p>
        </w:tc>
      </w:tr>
      <w:tr>
        <w:trPr/>
        <w:tc>
          <w:tcPr>
            <w:tcW w:w="2660" w:type="dxa"/>
            <w:tcBorders/>
            <w:shd w:fill="FFFFFF" w:val="clear"/>
            <w:vAlign w:val="center"/>
          </w:tcPr>
          <w:p>
            <w:pPr>
              <w:pStyle w:val="TableContents"/>
              <w:bidi w:val="0"/>
              <w:spacing w:before="0" w:after="283"/>
              <w:jc w:val="left"/>
              <w:rPr>
                <w:sz w:val="20"/>
              </w:rPr>
            </w:pPr>
            <w:r>
              <w:rPr>
                <w:sz w:val="20"/>
              </w:rPr>
              <w:t>Per Share Price</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2.1(a)(ii)</w:t>
            </w:r>
          </w:p>
        </w:tc>
      </w:tr>
      <w:tr>
        <w:trPr/>
        <w:tc>
          <w:tcPr>
            <w:tcW w:w="2660" w:type="dxa"/>
            <w:tcBorders/>
            <w:shd w:fill="CCEEFF" w:val="clear"/>
            <w:vAlign w:val="center"/>
          </w:tcPr>
          <w:p>
            <w:pPr>
              <w:pStyle w:val="TableContents"/>
              <w:bidi w:val="0"/>
              <w:spacing w:before="0" w:after="283"/>
              <w:jc w:val="left"/>
              <w:rPr>
                <w:sz w:val="20"/>
              </w:rPr>
            </w:pPr>
            <w:r>
              <w:rPr>
                <w:sz w:val="20"/>
              </w:rPr>
              <w:t>Permits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3.10</w:t>
            </w:r>
          </w:p>
        </w:tc>
      </w:tr>
      <w:tr>
        <w:trPr/>
        <w:tc>
          <w:tcPr>
            <w:tcW w:w="2660" w:type="dxa"/>
            <w:tcBorders/>
            <w:shd w:fill="FFFFFF" w:val="clear"/>
            <w:vAlign w:val="center"/>
          </w:tcPr>
          <w:p>
            <w:pPr>
              <w:pStyle w:val="TableContents"/>
              <w:bidi w:val="0"/>
              <w:spacing w:before="0" w:after="283"/>
              <w:jc w:val="left"/>
              <w:rPr>
                <w:sz w:val="20"/>
              </w:rPr>
            </w:pPr>
            <w:r>
              <w:rPr>
                <w:sz w:val="20"/>
              </w:rPr>
              <w:t>Proxy Statement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6.3(a)</w:t>
            </w:r>
          </w:p>
        </w:tc>
      </w:tr>
      <w:tr>
        <w:trPr/>
        <w:tc>
          <w:tcPr>
            <w:tcW w:w="2660" w:type="dxa"/>
            <w:tcBorders/>
            <w:shd w:fill="CCEEFF" w:val="clear"/>
            <w:vAlign w:val="center"/>
          </w:tcPr>
          <w:p>
            <w:pPr>
              <w:pStyle w:val="TableContents"/>
              <w:bidi w:val="0"/>
              <w:spacing w:before="0" w:after="283"/>
              <w:jc w:val="left"/>
              <w:rPr>
                <w:sz w:val="20"/>
              </w:rPr>
            </w:pPr>
            <w:r>
              <w:rPr>
                <w:sz w:val="20"/>
              </w:rPr>
              <w:t>Rights Agreement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6.17</w:t>
            </w:r>
          </w:p>
        </w:tc>
      </w:tr>
      <w:tr>
        <w:trPr/>
        <w:tc>
          <w:tcPr>
            <w:tcW w:w="2660" w:type="dxa"/>
            <w:tcBorders/>
            <w:shd w:fill="FFFFFF" w:val="clear"/>
            <w:vAlign w:val="center"/>
          </w:tcPr>
          <w:p>
            <w:pPr>
              <w:pStyle w:val="TableContents"/>
              <w:bidi w:val="0"/>
              <w:spacing w:before="0" w:after="283"/>
              <w:jc w:val="left"/>
              <w:rPr>
                <w:sz w:val="20"/>
              </w:rPr>
            </w:pPr>
            <w:r>
              <w:rPr>
                <w:sz w:val="20"/>
              </w:rPr>
              <w:t>Schedule 13e-3</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6.3(b)</w:t>
            </w:r>
          </w:p>
        </w:tc>
      </w:tr>
      <w:tr>
        <w:trPr/>
        <w:tc>
          <w:tcPr>
            <w:tcW w:w="2660" w:type="dxa"/>
            <w:tcBorders/>
            <w:shd w:fill="CCEEFF" w:val="clear"/>
            <w:vAlign w:val="center"/>
          </w:tcPr>
          <w:p>
            <w:pPr>
              <w:pStyle w:val="TableContents"/>
              <w:bidi w:val="0"/>
              <w:spacing w:before="0" w:after="283"/>
              <w:jc w:val="left"/>
              <w:rPr>
                <w:sz w:val="20"/>
              </w:rPr>
            </w:pPr>
            <w:r>
              <w:rPr>
                <w:sz w:val="20"/>
              </w:rPr>
              <w:t>SEC Clearance Date</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6.3(i)</w:t>
            </w:r>
          </w:p>
        </w:tc>
      </w:tr>
      <w:tr>
        <w:trPr/>
        <w:tc>
          <w:tcPr>
            <w:tcW w:w="2660" w:type="dxa"/>
            <w:tcBorders/>
            <w:shd w:fill="FFFFFF" w:val="clear"/>
            <w:vAlign w:val="center"/>
          </w:tcPr>
          <w:p>
            <w:pPr>
              <w:pStyle w:val="TableContents"/>
              <w:bidi w:val="0"/>
              <w:spacing w:before="0" w:after="283"/>
              <w:jc w:val="left"/>
              <w:rPr>
                <w:sz w:val="20"/>
              </w:rPr>
            </w:pPr>
            <w:r>
              <w:rPr>
                <w:sz w:val="20"/>
              </w:rPr>
              <w:t>Series C Preferred Stock</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2.1(a)(iv)</w:t>
            </w:r>
          </w:p>
        </w:tc>
      </w:tr>
      <w:tr>
        <w:trPr/>
        <w:tc>
          <w:tcPr>
            <w:tcW w:w="2660" w:type="dxa"/>
            <w:tcBorders/>
            <w:shd w:fill="CCEEFF" w:val="clear"/>
            <w:vAlign w:val="center"/>
          </w:tcPr>
          <w:p>
            <w:pPr>
              <w:pStyle w:val="TableContents"/>
              <w:bidi w:val="0"/>
              <w:spacing w:before="0" w:after="283"/>
              <w:jc w:val="left"/>
              <w:rPr>
                <w:sz w:val="20"/>
              </w:rPr>
            </w:pPr>
            <w:r>
              <w:rPr>
                <w:sz w:val="20"/>
              </w:rPr>
              <w:t>Stockholder Meeting</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6.4(a)</w:t>
            </w:r>
          </w:p>
        </w:tc>
      </w:tr>
      <w:tr>
        <w:trPr/>
        <w:tc>
          <w:tcPr>
            <w:tcW w:w="2660" w:type="dxa"/>
            <w:tcBorders/>
            <w:shd w:fill="FFFFFF" w:val="clear"/>
            <w:vAlign w:val="center"/>
          </w:tcPr>
          <w:p>
            <w:pPr>
              <w:pStyle w:val="TableContents"/>
              <w:bidi w:val="0"/>
              <w:spacing w:before="0" w:after="283"/>
              <w:jc w:val="left"/>
              <w:rPr>
                <w:sz w:val="20"/>
              </w:rPr>
            </w:pPr>
            <w:r>
              <w:rPr>
                <w:sz w:val="20"/>
              </w:rPr>
              <w:t>Surviving Corporation</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Recitals</w:t>
            </w:r>
          </w:p>
        </w:tc>
      </w:tr>
      <w:tr>
        <w:trPr/>
        <w:tc>
          <w:tcPr>
            <w:tcW w:w="2660" w:type="dxa"/>
            <w:tcBorders/>
            <w:shd w:fill="CCEEFF" w:val="clear"/>
            <w:vAlign w:val="center"/>
          </w:tcPr>
          <w:p>
            <w:pPr>
              <w:pStyle w:val="TableContents"/>
              <w:bidi w:val="0"/>
              <w:spacing w:before="0" w:after="283"/>
              <w:jc w:val="left"/>
              <w:rPr>
                <w:sz w:val="20"/>
              </w:rPr>
            </w:pPr>
            <w:r>
              <w:rPr>
                <w:sz w:val="20"/>
              </w:rPr>
              <w:t>Termination Date</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8.1(c)</w:t>
            </w:r>
          </w:p>
        </w:tc>
      </w:tr>
      <w:tr>
        <w:trPr/>
        <w:tc>
          <w:tcPr>
            <w:tcW w:w="2660" w:type="dxa"/>
            <w:tcBorders/>
            <w:shd w:fill="FFFFFF" w:val="clear"/>
            <w:vAlign w:val="center"/>
          </w:tcPr>
          <w:p>
            <w:pPr>
              <w:pStyle w:val="TableContents"/>
              <w:bidi w:val="0"/>
              <w:spacing w:before="0" w:after="283"/>
              <w:jc w:val="left"/>
              <w:rPr>
                <w:sz w:val="20"/>
              </w:rPr>
            </w:pPr>
            <w:r>
              <w:rPr>
                <w:sz w:val="20"/>
              </w:rPr>
              <w:t>Top Customers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3.22(a)</w:t>
            </w:r>
          </w:p>
        </w:tc>
      </w:tr>
      <w:tr>
        <w:trPr/>
        <w:tc>
          <w:tcPr>
            <w:tcW w:w="2660" w:type="dxa"/>
            <w:tcBorders/>
            <w:shd w:fill="CCEEFF" w:val="clear"/>
            <w:vAlign w:val="center"/>
          </w:tcPr>
          <w:p>
            <w:pPr>
              <w:pStyle w:val="TableContents"/>
              <w:bidi w:val="0"/>
              <w:spacing w:before="0" w:after="283"/>
              <w:jc w:val="left"/>
              <w:rPr>
                <w:sz w:val="20"/>
              </w:rPr>
            </w:pPr>
            <w:r>
              <w:rPr>
                <w:sz w:val="20"/>
              </w:rPr>
              <w:t>Top Suppliers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3.23(a)</w:t>
            </w:r>
          </w:p>
        </w:tc>
      </w:tr>
      <w:tr>
        <w:trPr/>
        <w:tc>
          <w:tcPr>
            <w:tcW w:w="2660" w:type="dxa"/>
            <w:tcBorders/>
            <w:shd w:fill="FFFFFF" w:val="clear"/>
            <w:vAlign w:val="center"/>
          </w:tcPr>
          <w:p>
            <w:pPr>
              <w:pStyle w:val="TableContents"/>
              <w:bidi w:val="0"/>
              <w:spacing w:before="0" w:after="283"/>
              <w:jc w:val="left"/>
              <w:rPr>
                <w:sz w:val="20"/>
              </w:rPr>
            </w:pPr>
            <w:r>
              <w:rPr>
                <w:sz w:val="20"/>
              </w:rPr>
              <w:t>Transaction Documents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Recitals</w:t>
            </w:r>
          </w:p>
        </w:tc>
      </w:tr>
      <w:tr>
        <w:trPr/>
        <w:tc>
          <w:tcPr>
            <w:tcW w:w="2660" w:type="dxa"/>
            <w:tcBorders/>
            <w:shd w:fill="CCEEFF" w:val="clear"/>
            <w:vAlign w:val="center"/>
          </w:tcPr>
          <w:p>
            <w:pPr>
              <w:pStyle w:val="TableContents"/>
              <w:bidi w:val="0"/>
              <w:spacing w:before="0" w:after="283"/>
              <w:jc w:val="left"/>
              <w:rPr>
                <w:sz w:val="20"/>
              </w:rPr>
            </w:pPr>
            <w:r>
              <w:rPr>
                <w:sz w:val="20"/>
              </w:rPr>
              <w:t>Uncertificated Shares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2.3(c)</w:t>
            </w:r>
          </w:p>
        </w:tc>
      </w:tr>
      <w:tr>
        <w:trPr/>
        <w:tc>
          <w:tcPr>
            <w:tcW w:w="2660" w:type="dxa"/>
            <w:tcBorders/>
            <w:shd w:fill="FFFFFF" w:val="clear"/>
            <w:vAlign w:val="center"/>
          </w:tcPr>
          <w:p>
            <w:pPr>
              <w:pStyle w:val="TableContents"/>
              <w:bidi w:val="0"/>
              <w:spacing w:before="0" w:after="283"/>
              <w:jc w:val="left"/>
              <w:rPr>
                <w:sz w:val="20"/>
              </w:rPr>
            </w:pPr>
            <w:r>
              <w:rPr>
                <w:sz w:val="20"/>
              </w:rPr>
              <w:t>Uncertificated Warrants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2.4</w:t>
            </w:r>
          </w:p>
        </w:tc>
      </w:tr>
      <w:tr>
        <w:trPr/>
        <w:tc>
          <w:tcPr>
            <w:tcW w:w="2660" w:type="dxa"/>
            <w:tcBorders/>
            <w:shd w:fill="CCEEFF" w:val="clear"/>
            <w:vAlign w:val="center"/>
          </w:tcPr>
          <w:p>
            <w:pPr>
              <w:pStyle w:val="TableContents"/>
              <w:bidi w:val="0"/>
              <w:spacing w:before="0" w:after="283"/>
              <w:jc w:val="left"/>
              <w:rPr>
                <w:sz w:val="20"/>
              </w:rPr>
            </w:pPr>
            <w:r>
              <w:rPr>
                <w:sz w:val="20"/>
              </w:rPr>
              <w:t>Undesignated Preferred Stock</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3.2(a)</w:t>
            </w:r>
          </w:p>
        </w:tc>
      </w:tr>
      <w:tr>
        <w:trPr/>
        <w:tc>
          <w:tcPr>
            <w:tcW w:w="2660" w:type="dxa"/>
            <w:tcBorders/>
            <w:shd w:fill="FFFFFF" w:val="clear"/>
            <w:vAlign w:val="center"/>
          </w:tcPr>
          <w:p>
            <w:pPr>
              <w:pStyle w:val="TableContents"/>
              <w:bidi w:val="0"/>
              <w:spacing w:before="0" w:after="283"/>
              <w:jc w:val="left"/>
              <w:rPr>
                <w:sz w:val="20"/>
              </w:rPr>
            </w:pPr>
            <w:r>
              <w:rPr>
                <w:sz w:val="20"/>
              </w:rPr>
              <w:t>Union</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3.12(a)</w:t>
            </w:r>
          </w:p>
        </w:tc>
      </w:tr>
      <w:tr>
        <w:trPr/>
        <w:tc>
          <w:tcPr>
            <w:tcW w:w="2660" w:type="dxa"/>
            <w:tcBorders/>
            <w:shd w:fill="CCEEFF" w:val="clear"/>
            <w:vAlign w:val="center"/>
          </w:tcPr>
          <w:p>
            <w:pPr>
              <w:pStyle w:val="TableContents"/>
              <w:bidi w:val="0"/>
              <w:spacing w:before="0" w:after="283"/>
              <w:jc w:val="left"/>
              <w:rPr>
                <w:sz w:val="20"/>
              </w:rPr>
            </w:pPr>
            <w:r>
              <w:rPr>
                <w:sz w:val="20"/>
              </w:rPr>
              <w:t>Unvested Company RSUs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2.2(a)(ii)</w:t>
            </w:r>
          </w:p>
        </w:tc>
      </w:tr>
      <w:tr>
        <w:trPr/>
        <w:tc>
          <w:tcPr>
            <w:tcW w:w="2660" w:type="dxa"/>
            <w:tcBorders/>
            <w:shd w:fill="FFFFFF" w:val="clear"/>
            <w:vAlign w:val="center"/>
          </w:tcPr>
          <w:p>
            <w:pPr>
              <w:pStyle w:val="TableContents"/>
              <w:bidi w:val="0"/>
              <w:spacing w:before="0" w:after="283"/>
              <w:jc w:val="left"/>
              <w:rPr>
                <w:sz w:val="20"/>
              </w:rPr>
            </w:pPr>
            <w:r>
              <w:rPr>
                <w:sz w:val="20"/>
              </w:rPr>
              <w:t>Vested Company RSUs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2.2(a)(i)</w:t>
            </w:r>
          </w:p>
        </w:tc>
      </w:tr>
      <w:tr>
        <w:trPr/>
        <w:tc>
          <w:tcPr>
            <w:tcW w:w="2660" w:type="dxa"/>
            <w:tcBorders/>
            <w:shd w:fill="CCEEFF" w:val="clear"/>
            <w:vAlign w:val="center"/>
          </w:tcPr>
          <w:p>
            <w:pPr>
              <w:pStyle w:val="TableContents"/>
              <w:bidi w:val="0"/>
              <w:spacing w:before="0" w:after="283"/>
              <w:jc w:val="left"/>
              <w:rPr>
                <w:sz w:val="20"/>
              </w:rPr>
            </w:pPr>
            <w:r>
              <w:rPr>
                <w:sz w:val="20"/>
              </w:rPr>
              <w:t>WARN Act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20"/>
              </w:rPr>
            </w:pPr>
            <w:r>
              <w:rPr>
                <w:sz w:val="20"/>
              </w:rPr>
              <w:t>3.12(e)</w:t>
            </w:r>
          </w:p>
        </w:tc>
      </w:tr>
      <w:tr>
        <w:trPr/>
        <w:tc>
          <w:tcPr>
            <w:tcW w:w="2660" w:type="dxa"/>
            <w:tcBorders/>
            <w:shd w:fill="FFFFFF" w:val="clear"/>
            <w:vAlign w:val="center"/>
          </w:tcPr>
          <w:p>
            <w:pPr>
              <w:pStyle w:val="TableContents"/>
              <w:bidi w:val="0"/>
              <w:spacing w:before="0" w:after="283"/>
              <w:jc w:val="left"/>
              <w:rPr>
                <w:sz w:val="20"/>
              </w:rPr>
            </w:pPr>
            <w:r>
              <w:rPr>
                <w:sz w:val="20"/>
              </w:rPr>
              <w:t>Warrant Certificates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sz w:val="20"/>
              </w:rPr>
            </w:pPr>
            <w:r>
              <w:rPr>
                <w:sz w:val="20"/>
              </w:rPr>
              <w:t>2.4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and delivered by their respective duly authorized officers as of the date first written above.</w:t>
      </w:r>
    </w:p>
    <w:p>
      <w:pPr>
        <w:pStyle w:val="TextBody"/>
        <w:bidi w:val="0"/>
        <w:spacing w:before="0" w:after="0"/>
        <w:ind w:left="0" w:right="0" w:firstLine="5760"/>
        <w:jc w:val="left"/>
        <w:rPr>
          <w:caps w:val="false"/>
          <w:smallCaps w:val="false"/>
        </w:rPr>
      </w:pPr>
      <w:r>
        <w:rPr>
          <w:caps w:val="false"/>
          <w:smallCaps w:val="false"/>
        </w:rPr>
        <w:t> </w:t>
      </w:r>
    </w:p>
    <w:tbl>
      <w:tblPr>
        <w:tblW w:w="2839" w:type="dxa"/>
        <w:jc w:val="left"/>
        <w:tblInd w:w="0" w:type="dxa"/>
        <w:tblLayout w:type="fixed"/>
        <w:tblCellMar>
          <w:top w:w="0" w:type="dxa"/>
          <w:left w:w="0" w:type="dxa"/>
          <w:bottom w:w="0" w:type="dxa"/>
          <w:right w:w="0" w:type="dxa"/>
        </w:tblCellMar>
      </w:tblPr>
      <w:tblGrid>
        <w:gridCol w:w="75"/>
        <w:gridCol w:w="602"/>
        <w:gridCol w:w="216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LANGHAM PROJECT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6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Nicholas Kovacvich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Nicholas Kovacevich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caps w:val="false"/>
                <w:smallCaps w:val="false"/>
              </w:rPr>
            </w:pPr>
            <w:r>
              <w:rPr>
                <w:caps w:val="false"/>
                <w:smallCaps w:val="false"/>
              </w:rPr>
              <w:t> </w:t>
            </w:r>
          </w:p>
        </w:tc>
        <w:tc>
          <w:tcPr>
            <w:tcW w:w="216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LANGHAM MERGER SUB,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6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Nicholas Kovacvich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Nicholas Kovacevich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caps w:val="false"/>
                <w:smallCaps w:val="false"/>
              </w:rPr>
            </w:pPr>
            <w:r>
              <w:rPr>
                <w:caps w:val="false"/>
                <w:smallCaps w:val="false"/>
              </w:rPr>
              <w:t> </w:t>
            </w:r>
          </w:p>
        </w:tc>
        <w:tc>
          <w:tcPr>
            <w:tcW w:w="216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LOGICMARK,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6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Chia-Lin Simmons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Chia-Lin Simmons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Merger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firstLine="3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47798</Words>
  <Characters>255701</Characters>
  <CharactersWithSpaces>303294</CharactersWithSpaces>
  <Paragraphs>1975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