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72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3749040</wp:posOffset>
            </wp:positionH>
            <wp:positionV relativeFrom="paragraph">
              <wp:posOffset>-7620</wp:posOffset>
            </wp:positionV>
            <wp:extent cx="1031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156845</wp:posOffset>
            </wp:positionV>
            <wp:extent cx="212598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598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0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552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40" w:type="dxa"/>
            <w:vAlign w:val="bottom"/>
            <w:gridSpan w:val="8"/>
          </w:tcPr>
          <w:p>
            <w:pPr>
              <w:jc w:val="center"/>
              <w:ind w:right="2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0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3500" w:type="dxa"/>
            <w:vAlign w:val="bottom"/>
          </w:tcPr>
          <w:p>
            <w:pPr>
              <w:spacing w:after="0"/>
              <w:rPr>
                <w:sz w:val="24"/>
                <w:szCs w:val="24"/>
                <w:color w:val="auto"/>
              </w:rPr>
            </w:pPr>
          </w:p>
        </w:tc>
      </w:tr>
      <w:tr>
        <w:trPr>
          <w:trHeight w:val="220"/>
        </w:trPr>
        <w:tc>
          <w:tcPr>
            <w:tcW w:w="3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Louisville, KY 40299</w:t>
            </w:r>
          </w:p>
        </w:tc>
        <w:tc>
          <w:tcPr>
            <w:tcW w:w="3500" w:type="dxa"/>
            <w:vAlign w:val="bottom"/>
          </w:tcPr>
          <w:p>
            <w:pPr>
              <w:spacing w:after="0"/>
              <w:rPr>
                <w:sz w:val="19"/>
                <w:szCs w:val="19"/>
                <w:color w:val="auto"/>
              </w:rPr>
            </w:pPr>
          </w:p>
        </w:tc>
      </w:t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00" w:type="dxa"/>
            <w:vAlign w:val="bottom"/>
          </w:tcPr>
          <w:p>
            <w:pPr>
              <w:spacing w:after="0"/>
              <w:rPr>
                <w:sz w:val="20"/>
                <w:szCs w:val="20"/>
                <w:color w:val="auto"/>
              </w:rPr>
            </w:pPr>
          </w:p>
        </w:tc>
      </w:tr>
      <w:tr>
        <w:trPr>
          <w:trHeight w:val="414"/>
        </w:trPr>
        <w:tc>
          <w:tcPr>
            <w:tcW w:w="3300" w:type="dxa"/>
            <w:vAlign w:val="bottom"/>
          </w:tcPr>
          <w:p>
            <w:pPr>
              <w:spacing w:after="0"/>
              <w:rPr>
                <w:sz w:val="24"/>
                <w:szCs w:val="24"/>
                <w:color w:val="auto"/>
              </w:rPr>
            </w:pPr>
          </w:p>
        </w:tc>
        <w:tc>
          <w:tcPr>
            <w:tcW w:w="41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(502) 442-7911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0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444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4"/>
                <w:szCs w:val="24"/>
                <w:color w:val="auto"/>
              </w:rPr>
            </w:pPr>
          </w:p>
        </w:tc>
      </w:tr>
      <w:tr>
        <w:trPr>
          <w:trHeight w:val="439"/>
        </w:trPr>
        <w:tc>
          <w:tcPr>
            <w:tcW w:w="33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30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gridSpan w:val="2"/>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such files). Yes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14, 2026, there were 899,759 shares of Common Stock, par value $0.0001 per share,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Part I</w:t>
            </w:r>
          </w:p>
        </w:tc>
        <w:tc>
          <w:tcPr>
            <w:tcW w:w="9560" w:type="dxa"/>
            <w:vAlign w:val="bottom"/>
            <w:gridSpan w:val="19"/>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Balance Sheets - March 31, 2026 and December 31, 2025</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 Three Months Ended March 31, 2026 and 2025</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 Three Months Ended March 31, 2026 and 2025</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Three Months Ended March 31, 2026 and 2025</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Condensed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LogicMark,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43"/>
        </w:trPr>
        <w:tc>
          <w:tcPr>
            <w:tcW w:w="86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2,109,529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3,567,487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5,377,685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5,943,218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1,841,286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1,400,305</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693,195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681,265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10,028,079</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11,598,087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113,929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324,058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costs, net of amortization of $942,887 and $833,452,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1,446,414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1,257,447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 net of amortization of $1,468,495 and $1,183,765,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2,223,878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2,454,909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3,143,662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3,143,662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 of amortization of $7,380,550 and $7,190,101, respectively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1,224,017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1,414,466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18,505,508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20,306,558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68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Liabilities, Series C Redeemable Preferred Stock and Stockholders’ Equity</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344,637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563,990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1,016,063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1,128,424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231,092</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239,916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1,591,792</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1,932,330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269,049</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1,860,841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2,215,229</w:t>
            </w:r>
          </w:p>
        </w:tc>
        <w:tc>
          <w:tcPr>
            <w:tcW w:w="10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Redeemable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11" w:lineRule="exact"/>
        <w:rPr>
          <w:sz w:val="20"/>
          <w:szCs w:val="20"/>
          <w:color w:val="auto"/>
        </w:rPr>
      </w:pPr>
    </w:p>
    <w:p>
      <w:pPr>
        <w:ind w:left="180" w:right="40" w:hanging="161"/>
        <w:spacing w:after="0" w:line="255" w:lineRule="auto"/>
        <w:rPr>
          <w:sz w:val="20"/>
          <w:szCs w:val="20"/>
          <w:color w:val="auto"/>
        </w:rPr>
      </w:pPr>
      <w:r>
        <w:rPr>
          <w:rFonts w:ascii="Times New Roman" w:cs="Times New Roman" w:eastAsia="Times New Roman" w:hAnsi="Times New Roman"/>
          <w:sz w:val="18"/>
          <w:szCs w:val="18"/>
          <w:color w:val="auto"/>
        </w:rPr>
        <w:t>Series C redeemable preferred stock, par value $0.0001 per share: 2,000 shares designated; 1 share issued and outstanding as of March 31, 2026 and December 31, 2025, aggregate liquidation preference of $2,000,000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par value $0.0001 per share: 80,000,000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ind w:left="180" w:right="160" w:hanging="161"/>
        <w:spacing w:after="0" w:line="250" w:lineRule="auto"/>
        <w:rPr>
          <w:sz w:val="20"/>
          <w:szCs w:val="20"/>
          <w:color w:val="auto"/>
        </w:rPr>
      </w:pPr>
      <w:r>
        <w:rPr>
          <w:rFonts w:ascii="Times New Roman" w:cs="Times New Roman" w:eastAsia="Times New Roman" w:hAnsi="Times New Roman"/>
          <w:sz w:val="18"/>
          <w:szCs w:val="18"/>
          <w:color w:val="auto"/>
        </w:rPr>
        <w:t>Series F preferred stock, par value $0.0001 per share: 1,333,333 shares designated; 106,333 shares issued and outstanding as of March 31, 2026 and December 31, 2025, aggregate liquidation preference of $319,000 as of March 31, 2026 and December 31, 2025</w:t>
      </w:r>
    </w:p>
    <w:p>
      <w:pPr>
        <w:spacing w:after="0" w:line="1"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Common stock, par value $0.0001 per share: 800,000,000 shares authorized; 906,059 issued and outstanding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Series C Redeemable Preferred Stock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1,807,300</w:t>
      </w:r>
      <w:r>
        <w:rPr>
          <w:sz w:val="20"/>
          <w:szCs w:val="20"/>
          <w:color w:val="auto"/>
        </w:rPr>
        <w:tab/>
      </w:r>
      <w:r>
        <w:rPr>
          <w:rFonts w:ascii="Times New Roman" w:cs="Times New Roman" w:eastAsia="Times New Roman" w:hAnsi="Times New Roman"/>
          <w:sz w:val="18"/>
          <w:szCs w:val="18"/>
          <w:color w:val="auto"/>
        </w:rPr>
        <w:t>1,807,300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319,000</w:t>
      </w:r>
      <w:r>
        <w:rPr>
          <w:sz w:val="20"/>
          <w:szCs w:val="20"/>
          <w:color w:val="auto"/>
        </w:rPr>
        <w:tab/>
      </w:r>
      <w:r>
        <w:rPr>
          <w:rFonts w:ascii="Times New Roman" w:cs="Times New Roman" w:eastAsia="Times New Roman" w:hAnsi="Times New Roman"/>
          <w:sz w:val="18"/>
          <w:szCs w:val="18"/>
          <w:color w:val="auto"/>
        </w:rPr>
        <w:t>319,000</w:t>
      </w:r>
    </w:p>
    <w:p>
      <w:pPr>
        <w:spacing w:after="0" w:line="225" w:lineRule="exact"/>
        <w:rPr>
          <w:sz w:val="20"/>
          <w:szCs w:val="20"/>
          <w:color w:val="auto"/>
        </w:rPr>
      </w:pPr>
    </w:p>
    <w:p>
      <w:pPr>
        <w:ind w:left="2280" w:hanging="1331"/>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132,601,746132,597,001</w:t>
      </w:r>
    </w:p>
    <w:p>
      <w:pPr>
        <w:spacing w:after="0" w:line="9" w:lineRule="exact"/>
        <w:rPr>
          <w:sz w:val="20"/>
          <w:szCs w:val="20"/>
          <w:color w:val="auto"/>
        </w:rPr>
      </w:pPr>
    </w:p>
    <w:p>
      <w:pPr>
        <w:ind w:left="180"/>
        <w:spacing w:after="0"/>
        <w:tabs>
          <w:tab w:leader="none" w:pos="1480" w:val="left"/>
        </w:tabs>
        <w:rPr>
          <w:sz w:val="20"/>
          <w:szCs w:val="20"/>
          <w:color w:val="auto"/>
        </w:rPr>
      </w:pPr>
      <w:r>
        <w:rPr>
          <w:rFonts w:ascii="Times New Roman" w:cs="Times New Roman" w:eastAsia="Times New Roman" w:hAnsi="Times New Roman"/>
          <w:sz w:val="18"/>
          <w:szCs w:val="18"/>
          <w:color w:val="auto"/>
        </w:rPr>
        <w:t>(118,083,470)</w:t>
      </w:r>
      <w:r>
        <w:rPr>
          <w:sz w:val="20"/>
          <w:szCs w:val="20"/>
          <w:color w:val="auto"/>
        </w:rPr>
        <w:tab/>
      </w:r>
      <w:r>
        <w:rPr>
          <w:rFonts w:ascii="Times New Roman" w:cs="Times New Roman" w:eastAsia="Times New Roman" w:hAnsi="Times New Roman"/>
          <w:sz w:val="18"/>
          <w:szCs w:val="18"/>
          <w:color w:val="auto"/>
        </w:rPr>
        <w:t>(116,632,063)</w:t>
      </w:r>
    </w:p>
    <w:p>
      <w:pPr>
        <w:spacing w:after="0" w:line="45" w:lineRule="exact"/>
        <w:rPr>
          <w:sz w:val="20"/>
          <w:szCs w:val="20"/>
          <w:color w:val="auto"/>
        </w:rPr>
      </w:pPr>
    </w:p>
    <w:p>
      <w:pPr>
        <w:ind w:left="320"/>
        <w:spacing w:after="0"/>
        <w:tabs>
          <w:tab w:leader="none" w:pos="1620" w:val="left"/>
        </w:tabs>
        <w:rPr>
          <w:sz w:val="20"/>
          <w:szCs w:val="20"/>
          <w:color w:val="auto"/>
        </w:rPr>
      </w:pPr>
      <w:r>
        <w:rPr>
          <w:rFonts w:ascii="Times New Roman" w:cs="Times New Roman" w:eastAsia="Times New Roman" w:hAnsi="Times New Roman"/>
          <w:sz w:val="18"/>
          <w:szCs w:val="18"/>
          <w:color w:val="auto"/>
        </w:rPr>
        <w:t>14,837,367</w:t>
      </w:r>
      <w:r>
        <w:rPr>
          <w:sz w:val="20"/>
          <w:szCs w:val="20"/>
          <w:color w:val="auto"/>
        </w:rPr>
        <w:tab/>
      </w:r>
      <w:r>
        <w:rPr>
          <w:rFonts w:ascii="Times New Roman" w:cs="Times New Roman" w:eastAsia="Times New Roman" w:hAnsi="Times New Roman"/>
          <w:sz w:val="18"/>
          <w:szCs w:val="18"/>
          <w:color w:val="auto"/>
        </w:rPr>
        <w:t>16,284,029</w:t>
      </w:r>
    </w:p>
    <w:p>
      <w:pPr>
        <w:spacing w:after="0" w:line="302"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Times New Roman" w:cs="Times New Roman" w:eastAsia="Times New Roman" w:hAnsi="Times New Roman"/>
          <w:sz w:val="18"/>
          <w:szCs w:val="18"/>
          <w:b w:val="1"/>
          <w:bCs w:val="1"/>
          <w:u w:val="single" w:color="auto"/>
          <w:color w:val="auto"/>
        </w:rPr>
        <w:t>$</w:t>
        <w:tab/>
        <w:t>18,505,508</w:t>
        <w:tab/>
        <w:t>$</w:t>
        <w:tab/>
        <w:t>20,306,558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40" w:space="440"/>
            <w:col w:w="2560"/>
          </w:cols>
          <w:pgMar w:left="320" w:top="900" w:right="3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3,214,280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of goods sold</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977,492</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946,597</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 operating cost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377,679</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343,626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78,375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805,550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517,100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123,436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1,728,733</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2,269,504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16,281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49,611</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612,101</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499,425</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(1,505,367)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(2,364,118)</w:t>
            </w: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96,227</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45,213</w:t>
            </w:r>
          </w:p>
        </w:tc>
        <w:tc>
          <w:tcPr>
            <w:tcW w:w="8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(42,267)</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127,919</w:t>
            </w:r>
          </w:p>
        </w:tc>
        <w:tc>
          <w:tcPr>
            <w:tcW w:w="80" w:type="dxa"/>
            <w:vAlign w:val="bottom"/>
            <w:shd w:val="clear" w:color="auto" w:fill="CCEEFF"/>
          </w:tcPr>
          <w:p>
            <w:pPr>
              <w:spacing w:after="0"/>
              <w:rPr>
                <w:sz w:val="22"/>
                <w:szCs w:val="22"/>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53,960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173,132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(1,451,407)</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(2,190,986)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(1,451,407)</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(2,190,986)</w:t>
            </w:r>
          </w:p>
        </w:tc>
        <w:tc>
          <w:tcPr>
            <w:tcW w:w="100" w:type="dxa"/>
            <w:vAlign w:val="bottom"/>
            <w:tcBorders>
              <w:top w:val="single" w:sz="8" w:color="CCEEFF"/>
            </w:tcBorders>
            <w:gridSpan w:val="2"/>
          </w:tcPr>
          <w:p>
            <w:pPr>
              <w:spacing w:after="0"/>
              <w:rPr>
                <w:sz w:val="17"/>
                <w:szCs w:val="17"/>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(1,526,407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(2,265,986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 - Basic and 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(93.50)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2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906,059</w:t>
            </w:r>
          </w:p>
        </w:tc>
        <w:tc>
          <w:tcPr>
            <w:tcW w:w="2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24,235</w:t>
            </w:r>
          </w:p>
        </w:tc>
        <w:tc>
          <w:tcPr>
            <w:tcW w:w="8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1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gridSpan w:val="8"/>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 w:type="dxa"/>
            <w:vAlign w:val="bottom"/>
          </w:tcPr>
          <w:p>
            <w:pPr>
              <w:spacing w:after="0"/>
              <w:rPr>
                <w:sz w:val="19"/>
                <w:szCs w:val="19"/>
                <w:color w:val="auto"/>
              </w:rPr>
            </w:pPr>
          </w:p>
        </w:tc>
        <w:tc>
          <w:tcPr>
            <w:tcW w:w="212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gridSpan w:val="8"/>
            <w:vMerge w:val="continue"/>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8"/>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0"/>
                <w:szCs w:val="20"/>
                <w:color w:val="auto"/>
              </w:rPr>
            </w:pPr>
          </w:p>
        </w:tc>
        <w:tc>
          <w:tcPr>
            <w:tcW w:w="11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906,059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$ 132,597,001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(116,632,063)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$16,284,029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79,745</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79,745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 dividends</w:t>
            </w:r>
          </w:p>
        </w:tc>
        <w:tc>
          <w:tcPr>
            <w:tcW w:w="10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(1,451,407)</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(1,451,407)</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132,601,746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(118,083,470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14,837,367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gridSpan w:val="8"/>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00" w:type="dxa"/>
            <w:vAlign w:val="bottom"/>
          </w:tcPr>
          <w:p>
            <w:pPr>
              <w:spacing w:after="0"/>
              <w:rPr>
                <w:sz w:val="19"/>
                <w:szCs w:val="19"/>
                <w:color w:val="auto"/>
              </w:rPr>
            </w:pPr>
          </w:p>
        </w:tc>
        <w:tc>
          <w:tcPr>
            <w:tcW w:w="2120" w:type="dxa"/>
            <w:vAlign w:val="bottom"/>
            <w:gridSpan w:val="8"/>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gridSpan w:val="8"/>
            <w:vMerge w:val="continue"/>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8"/>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0"/>
                <w:szCs w:val="20"/>
                <w:color w:val="auto"/>
              </w:rPr>
            </w:pPr>
          </w:p>
        </w:tc>
        <w:tc>
          <w:tcPr>
            <w:tcW w:w="11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106,953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791,245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$ 118,758,596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(109,164,636)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$10,385,205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436,810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436,810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warrants and pre-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funded warrants pursuant to a registration</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 on Form S-1</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14,377,835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14,377,835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incurred in connection with equity</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offerings</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(1,766,695)</w:t>
            </w:r>
          </w:p>
        </w:tc>
        <w:tc>
          <w:tcPr>
            <w:tcW w:w="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(1,766,695)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22,144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exercised for common stock on a</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basis</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186,942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H preferred stock for</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(472,245)</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472,245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Series I preferred stock</w:t>
            </w: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 dividends</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(2,190,986)</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(2,190,986)</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gridSpan w:val="2"/>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2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106,333</w:t>
            </w:r>
          </w:p>
        </w:tc>
        <w:tc>
          <w:tcPr>
            <w:tcW w:w="10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319,000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223,147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132,243,438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(111,355,622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21,206,838</w:t>
            </w:r>
          </w:p>
        </w:tc>
        <w:tc>
          <w:tcPr>
            <w:tcW w:w="0" w:type="dxa"/>
            <w:vAlign w:val="bottom"/>
          </w:tcPr>
          <w:p>
            <w:pPr>
              <w:spacing w:after="0"/>
              <w:rPr>
                <w:sz w:val="1"/>
                <w:szCs w:val="1"/>
                <w:color w:val="auto"/>
              </w:rPr>
            </w:pPr>
          </w:p>
        </w:tc>
      </w:tr>
      <w:tr>
        <w:trPr>
          <w:trHeight w:val="21"/>
        </w:trPr>
        <w:tc>
          <w:tcPr>
            <w:tcW w:w="3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(1,451,407)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79,745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454,332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190,449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190,449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product development costs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109,435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software development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284,730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171,585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loss (gain) on investments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(230,432)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(440,981)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359,418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(11,930)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(308,237)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(361,534)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(118,361)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(206,704)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124,963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(13,850)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(1,647,091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equipment and website development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(26,801)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(222,884)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(51,032)</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Redemption/sale of government securities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1,792,458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 in government securities</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(1,227,608)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(5,994,900)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(6,168,424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common stock and warrants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14,377,835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paid in connection with equity offerings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 for common stock</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22,147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redeemable preferred stock dividends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13,003,231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3,567,487</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3,806,915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2,109,529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8,990,036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H preferred stock conversion to common stock</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472,245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Website development costs included in accounts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16,699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in connection with offering costs included in 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444,944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costs included in accounts payable and accrued expenses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75,518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 included in 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189,298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PRINCIPAL BUSINESS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LogicMark, Inc. (“LogicMark,” the “Company,” or “we”) was incorporated in the State of Delaware on February 8, 2012 and was reincorporated in the State of Nevada on June 1, 2023. LogicMark operates its business in one segment and provides personal emergency response systems (“PERS”), health communications devices, and Internet of Things technology that creates a connected care platform. The Company’s devices give people the ability to receive care at home and confidence to age independently. LogicMark revolutionized the PERS industry by incorporating two-way voice communication technology directly in the medical alert pendant and providing life-saving technology at a price point everyday consumers could afford. The PERS technologies are sold direct-to-consumer through the Company’s eCommerce platform, to retailers and resellers, and to the United States Veterans Health Administration (“VHA”).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June 1, 2025, the Company’s Common Stock was traded on the Nasdaq Capital Market. Effective June 2, 2025, the Company’s Common Stock has been publicly quoted on a market operated by the OTC Markets Group Inc. under the symbol “LGMK”.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LIQUIDITY AND MANAGEMENT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an operating loss of $1.5 million, a net loss of $1.5 million, and cash used in operations of $1.6 million for the three months ended March 31, 2026. As of March 31, 2026, the Company had cash and cash equivalents of $2.1 million and investments of $5.4 million in U.S. government securities. As of March 31, 2026, the Company had working capital of $8.4 million compared to working capital as of December 31, 2025 of $9.7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Company’s cash position and investment position as of March 31, 2026 and its projected cash flow from operations, the Company believes that it will have sufficient capital to sustain operations for a period of at least one year following the date of this filing. The Company may also raise funds through equity or debt offerings in the future to further accelerate the execution of its long-term strategic plan to develop and commercialize its core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U.S. generally accepted accounting principles (“U.S. GAAP”) and applicable rules and regulations of the U.S. Securities and Exchange Commission (“SEC”) regarding interim financial reporting. In the opinion of management, the information herein reflects all adjustments, consisting only of normal recurring adjustments, except as otherwise noted, considered necessary for a fair statement of results of operations, financial position, stockholders’ equity, and cash flows. The results for the interim periods presented are not necessarily indicative of the results expected for any future period. The following information should be read in conjunction with the audited financial statements and notes thereto included in the Company’s Annual Report on Form 10-K for the year ended December 31, 2025, which was filed with the SEC on March 27,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and share data for the three months ended March 31, 2025 have been retroactively adjusted to reflect the 1-for-750 reverse stock split that occurred on October 28, 2025. See Note 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CONDENSED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 The Company’s management evaluates these significant estimates and assumptions, including those related to the fair value of acquired assets and liabilities, stock-based compensation, income taxes, long-lived assets, inventories, carrying amount and estimated useful lives of long-lived assets, income tax recoverability of deferred tax assets and provisions, standalone selling price estimate of subscription revenue, period of recognition of subscription revenue and other matters that affect the financial statements and disclosures.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date of three months or less when purchased to be cash equivalents. Due to their short-term nature, cash equivalents are carried at cost, which approximates fair value. The Company had cash equivalents of $1.8 million and $2.9 million as of March 31,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include investments in U.S. government securities, which are classified as available for sale. Investments with original maturities at the date of purchase greater than approximately three months but less than a year are classified as short-term investments, as they represent the investment of cash available for current operations. The Company has investments of $5.4 million invested in U.S. government securities as of March 31, 2026. See Note 6 for more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investments. The Company maintains its cash, cash equivalents and investments balances in large well-established financial institutions located in the United States. At times, the Company’s cash balances may be uninsured or in deposit accounts that exceed the Federal Deposit Insurance Corporation insurance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contracts with customers that may include combinations of product and subscription services, resulting in arrangements containing multiple performance obligations. The Company’s revenues consist of product sales to either end customers, to resellers or direct bulk sales to the VHA. The Company’s revenues are derived from contracts with customers, which are in most cases customer purchase orders. For each contract, the promise to transfer the title of the product, each of which is individually distinct, is considered to be the identified performance obligation. As part of the consideration promised in each contract, the Company evaluates the customer’s credit risk. Our contracts do not have any financing components, as payments are mostly prepaid, or in limited cases, due net 30 days after the invoice date. The majority of prepaid contracts are with the VHA, which consists of the majority of the Company’s revenues. The Company’s products are almost always sold at fixed prices. In determining the transaction price, we evaluate whether the price is subject to any refunds, due to product returns or adjustments due to volume discounts, rebates, or price concessions to determine the net consideration we expect to be entitled to. The Company’s sales are primarily recognized at a point-in-time under the core principle of recognizing revenue when title transfers to the customer, which generally occurs when the Company ships the product from its fulfillment center to our customers, when our customer accepts and has legal title of the goods, and the Company has a present right to payment for such goods. Based on the respective contract terms, most of our contract revenues are recognized either (i) upon shipment based on free on board shipping point, or (ii) when the product arrives at its destination.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cases where the Company enters into contracts with customers that contain multiple performance obligations for product and subscription services, we allocate the transaction price for the contract among the performance obligations on a relative standalone selling price (“SSP”) basis, which is generally not directly observable and requires the Company to estimate SSP based on management judgment by considering available data such as internal margin objectives, pricing strategies, as well as other observable inputs. Subscription services revenue in these cases is recognized over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offers leased products coupled with monthly subscription services. We account for the revenue from its lease contracts by utilizing the single component accounting policy. This policy requires the Company to account for, by class of underlying asset, the lease component and non-lease component(s) associated with each lease as a single component if two criteria are met: (1) the timing and pattern of the lease component and the non-lease component are the same and (2) the lease component would be classified as an operating lease, if accounted for separately. The Company has determined that its leased product meets the criteria for operating leases and has the same timing and pattern of transfer as its monthly subscription services. The Company has elected the lessor practical expedient within Accounting Standard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recognizes, measures, presents, and discloses the revenue for the new offering based upon the predominant component, either the lease or non-lease component. The Company recognizes revenue under ASC 606, </w:t>
      </w:r>
      <w:r>
        <w:rPr>
          <w:rFonts w:ascii="Times New Roman" w:cs="Times New Roman" w:eastAsia="Times New Roman" w:hAnsi="Times New Roman"/>
          <w:sz w:val="18"/>
          <w:szCs w:val="18"/>
          <w:i w:val="1"/>
          <w:iCs w:val="1"/>
          <w:color w:val="auto"/>
        </w:rPr>
        <w:t>Revenue Recognition from Contracts with Customers</w:t>
      </w:r>
      <w:r>
        <w:rPr>
          <w:rFonts w:ascii="Times New Roman" w:cs="Times New Roman" w:eastAsia="Times New Roman" w:hAnsi="Times New Roman"/>
          <w:sz w:val="18"/>
          <w:szCs w:val="18"/>
          <w:color w:val="auto"/>
        </w:rPr>
        <w:t xml:space="preserve"> for its leased products for which it has estimated that the non-lease components of the new offering are the predominant component of the contract.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2,954,741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2,506,620</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259,539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85,204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3,214,280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2,591,824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Company’s sales recognized over time were $0.2 million and $85.2 thousand,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DEALERS AND RESELLERS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reserve for claims and returns as a refund liability. The reserve is recorded as a reduction to revenue in the same period that the related revenue is recorded and is calculated based on an analysis of historical claims and returns over a period of time to appropriately account for current pricing and business trends. Similarly, sales returns and allowances are recorded based on historical return rates, as a reduction to revenue with a corresponding reduction to cost of goods sold for the estimated cost of inventory that is expected to be returned. These reserves were not material as of March 31, 2026 and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billed to customers for shipping and handling are included in revenues. The related freight charges incurred by the Company are included in cost of goods sold and were $43.0 thousand and $67.5 thousand for the three months ended March 31, 2026 and March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Company’s revenues were primarily the result of shipments to VHA hospitals and clinics, which are made in most cases on a prepaid basis. The Company also sells its products to dealers and resellers, typically providing customers with modest trade credit terms. Sales made to dealers and resellers are done with limited rights of return and are subject to the normal warranties offered to the ultimate consumer for product defects.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is stated at net realizable value. The Company regularly reviews accounts receivable balances and adjusts the accounts receivable allowance for credit losses as necessary whenever events or circumstances indicate the carrying value may not be recoverable. As of March 31, 2026 and December 31, 2025, the allowance for credit losses was immaterial.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is recorded when the amounts invoiced to customers are in excess of revenue that can be recognized because performance obligations have not been satisfied, and control of the promised product or subscription services has not been transferred to the customer. Deferred revenue largely represents amounts invoiced in advance for subscription services, where revenue cannot be recognized yet.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Deferred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239,916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237,711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(246,535)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(878,297)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Ending Deferred Revenue</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231,092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sales of $0.2 million for the three months ended March 31, 2026 that was included in the deferred revenue balance as of December 31, 2025. The Company recognized sales of $53.5 thousand for the three months ended March 31, 2025, that was included in the deferred revenue balance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inventory at the lower of cost or net realizable value, defined as estimated selling prices in the ordinary course of business, less reasonably predictable costs of completion, disposal, and transportation. Cost is determined using the first-in, first-out method.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regular reviews of inventory quantities on hand and evaluates the realizable value of its inventories. The Company adjusts the carrying value of the inventory as necessary for excess, obsolete, and slow-moving inventory by comparing the individual inventory parts to forecasted product demand or production requirements. As of March 31, 2026, inventory comprised of $0.6 million in finished goods on hand and $1.2 million in inventory in-transit from vendors. As of December 31, 2025, inventory was comprised of $1.4 million in finished goods on hand. As of December 31, 2025, there was no inventory in transit from vendor.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partially prepay for inventory with certain vendors. As of March 31, 2026 and December 31, 2025, $0.4 million and $0.5 million of prepayments, respectively, were made for inventory and are included in prepaid expenses and other current assets on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and other intangible assets, are evaluated for impairment whenever events or changes in circumstances indicate the carrying value of an asset may not be recoverable. When indicators exist, the Company tests for the impairment of the definite-lived assets based on the undiscounted future cash flow the assets are expected to generate over their remaining useful lives, compared to the carrying value of the assets. If the carrying amount of the assets is determined not to be recoverable, a write-down to fair value is recorded. Management estimates future cash flows using assumptions about expected future operating performance. Management’s estimates of future cash flows may differ from actual cash flow due to, among other things, technological changes, economic conditions, or changes to the Company’s business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consisting of equipment, furniture, fixtures, website and other, is stated at cost. The costs of additions and improvements are generally capitalized and expenditures for repairs and maintenance are expensed in the period incurred. When items of property and equipment are sold or retired, the related costs and accumulated depreciation are removed from the accounts and any gain or loss is included in income. Depreciation of property and equipment is provided utilizing the straight-line method over the estimated useful life of the respective asset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340" w:type="dxa"/>
            <w:vAlign w:val="bottom"/>
            <w:shd w:val="clear" w:color="auto" w:fill="CCEEFF"/>
          </w:tcPr>
          <w:p>
            <w:pPr>
              <w:jc w:val="center"/>
              <w:ind w:left="401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340" w:type="dxa"/>
            <w:vAlign w:val="bottom"/>
          </w:tcPr>
          <w:p>
            <w:pPr>
              <w:jc w:val="center"/>
              <w:ind w:left="4010"/>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and other</w:t>
            </w:r>
          </w:p>
        </w:tc>
        <w:tc>
          <w:tcPr>
            <w:tcW w:w="5340" w:type="dxa"/>
            <w:vAlign w:val="bottom"/>
            <w:shd w:val="clear" w:color="auto" w:fill="CCEEFF"/>
          </w:tcPr>
          <w:p>
            <w:pPr>
              <w:jc w:val="center"/>
              <w:ind w:left="401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reviewed annually in the fourth quarter, or when circumstances indicate that an impairment may have occurred. The Company first performs a qualitative assessment of goodwill impairment, which considers factors such as market conditions, performance compared to forecast, business outlook and unusual events. If the qualitative assessment indicates a possible goodwill impairment, goodwill is then quantitatively tested for impairment. The Company may elect to bypass the qualitative assessment and proceed directly to the quantitative test. If a quantitative goodwill impairment test is required, the fair value is determined using a variety of assumptions including estimated future cash flows using applicable discount rates (income approach), comparisons to other similar companies (market approach), and an adjusted balance sheet approach. As of March 31, 2026 and December 31, 2025, no indicators of impairment were noted.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are related to the acquisition of LogicMark LLC in 2016, the former subsidiary that was merged with and into the Company, and are included in other intangible assets in the Company’s balance sheet as of March 31, 2026 and December 31,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other intangible assets were composed of patents of $0.5 million; trademarks of $0.6 million; and customer relationships of $0.1 million. As of December 31, 2025, the other intangible assets are composed of patents of $0.6 million; trademarks of $0.7 million; and customer relationships of $0.1 million. The Company amortizes these intangible assets using the straight-line method over their estimated useful lives which for the patents, trademarks and customer relationships are 11 years, 20 years, and 10 years, respectively. During the three months ended March 31, 2026 and 2025, the Company had amortization expense of $0.2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is estimated to be approximately $0.4 million for the remainder of fiscal year 2026, $0.3 million for fiscal year 2027, $63 thousand for fiscal year 2028, $63 thousand for fiscal year 2029 and approximately $0.4 million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awards exchanged for employee services at the estimated grant date fair value of the award. The Company accounts for equity instruments issued to non-employees at their fair value on the measurement date. The measurement of stock-based compensation is subject to periodic adjustment as the underlying equity instrument vests or becomes non-forfeitable. Stock-based compensation charges are amortized over the vesting period or as earned. Stock-based compensation is recorded in the same component of operating expenses as if it were paid in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COMMON STOCKHOLDERS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loss attributable to common stockholders per share was computed using the weighted average number of shares of Common Stock, par value $0.0001 per share (“Common Stock”), outstanding. Diluted net loss applicable to common stockholders per share (“Diluted net loss per share”) includes the effect of diluted Common Stock equivalents. Potentially dilutive securities from the exercise of stock options to purchase 187,330 shares of Common Stock and warrants to purchase 12,396,490 shares of Common Stock as of March 31, 2026, were excluded from the computation of diluted net loss per share because the effect of their inclusion would have been anti-dilutive. Potentially dilutive securities from the exercise of stock options to purchase 183 shares of Common Stock and warrants to purchase 393,898 shares of Common Stock as of March 31, 2025, were excluded from the computation of diluted net loss per share because the effect of their inclusion would have been anti-dilutive.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PRODUCT AND SOFTWARE DEVELOPMENT COSTS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expenditures on new market development and related engineering costs. In addition to internal resources, the Company utilizes functional consulting resources, third-party software, and product development firms. The Company expenses all research and development costs as incurred until technological feasibility has been established for the product. Once technological feasibility is established, development costs including software and product design are capitalized until the product is available for general release to customers. Judgment is required in determining when technological feasibility of a product is established. For the three months ended March 31, 2026, the Company capitalized $0.3 million in product development costs and $53.7 thousand in software development costs. For the three months ended March 31, 2025, the Company did not capitalize costs for product development and capitalized $0.4 million software development costs. Amortization of these costs was on a straight-line basis over three years and amounted to approximately $0.1 million and $0.3 million for product development and software development, respectively, for the three months ended March 31, 2026. Amortization expense amounted to approximately $0.1 million and $0.2 million for product development and software development, respectively, for the three months ended March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(“ASU 2024-03”), which enhances the disclosure of expenses on the income statement.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2024-03 is effective for annual reporting periods beginning after December 15, 2026, and interim reporting periods within annual reporting periods beginning after December 15, 2027. The Company is currently evaluating ASU 2024-03 to determine its impact on the Company’s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Standards Update (“ASU”) 2025-05,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 (Topic 326) Measurement of Credit Losses for Accounts Receivable and Contract Assets”</w:t>
      </w:r>
      <w:r>
        <w:rPr>
          <w:rFonts w:ascii="Times New Roman" w:cs="Times New Roman" w:eastAsia="Times New Roman" w:hAnsi="Times New Roman"/>
          <w:sz w:val="18"/>
          <w:szCs w:val="18"/>
          <w:color w:val="auto"/>
        </w:rPr>
        <w:t>(“ASU2025-05”), which provides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permitting an entity to assume that the conditions at the balance sheet date may remain unchanged over the life of the asset when estimating expected credit losses for current classified accounts receivable and contract assets. ASU 2025-05 is effective for annual reporting periods beginning after December 15, 2025, including interim periods within those fiscal years. Effective January 1, 2026, the Company adopted ASU 2025-05 and determined there was no material impact on the unaudited condensed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ACCRUED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payroll taxes and vacation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Merchant card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29,051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Management incentives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200,661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51,345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Credit card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193,489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158,370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1,016,063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1,128,424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broken out of or included in “Other” to conform to current period presentation in the table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financial instruments is defined as an exit price, which is the price that would be received upon sale of an asset or paid upon transfer of a liability in an orderly transaction between market participants. The degree of judgment used in measuring the fair value of assets and liabilities generally correlates to the level of pricing observability. Financial assets and liabilities with readily available, actively quoted prices or for which fair value can be measured from quoted prices in active markets generally have more pricing observability and require less judgment in measuring fair value. Conversely, financial assets and liabilities that are rarely traded or not quoted have less price observability and are generally measured at fair value using valuation models that require more judgment. These valuation techniques involve some level of management estimation and judgment, the degree to which depends on the price transparency of the asset, liability or market and the nature of the asset or liability. The Company has categorized its financial assets and liabilities measured at fair value into a three-level hierarchy.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establishes a valuation hierarchy for disclosure of the inputs to valuation used to measure fair value.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hierarchy prioritizes the inputs into three broad levels as follows:</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based on the Company’s own assumptions used to measure assets and liabilities at fair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accounts payable approximate their fair values due to their short maturities. The Company measures the fair value of financial assets and liabilities based on the exchange price that would be received for an asset or paid to transfer a liability (an exit price) in the principal or most advantageous market for the asset or liability in an orderly transaction between market participants on the measurement date. The Company maximizes the use of observable inputs and minimizes the use of unobservable inputs when measuring fair value.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Level 2 assets measured at fair value on a recurring basis were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6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5,377,685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5,943,218</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AND REDEEMABLE PREFERRED STOCK</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October 2025 Reverse Stock Split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2025, the Company executed a 1-for-750 reverse split of its outstanding Common Stock and Series C Redeemable Preferred Stock. As a result of the reverse splits, each 750 pre-split shares of Common Stock outstanding and each 750 pre-split shares of Series C Redeemable Preferred Stock outstanding were automatically exchanged for one new share of each without any action on the part of the holders. The number of outstanding shares of Common Stock was reduced from 576,305,099 shares to 768,665 shares, and the number of outstanding shares of Series C Redeemable Preferred Stock was reduced to 1 share. 258 shares of Common Stock were issued as a result of the treatment of fractional shares in connection with this reverse stock split, which rounded up outstanding post-split shares to the nearest whole number. The reverse stock split did not affect the total number of shares of capital stock, including Series C Redeemable Preferred Stock, that the Company is authorized to issue.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and all share data as of and for the three months ended March 31, 2025 have been retroactively adjusted to reflect the reverse stock splits in accordance with ASC 260-10-55-12, “</w:t>
      </w:r>
      <w:r>
        <w:rPr>
          <w:rFonts w:ascii="Times New Roman" w:cs="Times New Roman" w:eastAsia="Times New Roman" w:hAnsi="Times New Roman"/>
          <w:sz w:val="18"/>
          <w:szCs w:val="18"/>
          <w:i w:val="1"/>
          <w:iCs w:val="1"/>
          <w:color w:val="auto"/>
        </w:rPr>
        <w:t>Restatement of EPS Data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AND REDEEMABLE PREFERRED STOCK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Certificates of Withdrawal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9, 2025, the Company filed with the Secretary of State of the State of Nevada certificates of withdrawal for its Series H Certificate of Designation and Series I Certificate of Designation in order to eliminate and cancel all designations, rights, preferences and limitations of the shares of Series H Preferred Stock and Series I Preferred Stock, respectively. Prior to the filing of each such certificate of withdrawal, all 1,000 authorized shares of Series H Preferred Stock had been converted into shares of Common Stock and all 1,000 authorized shares of Series I Preferred Stock had been redeemed, pursuant to the applicable provisions of the Series H Certificate of Designation and the Series I Certificate of Designation, respectively. Such shares have resumed the status of authorized but unissued shares of preferred stock of the Company. Each of the certificates of withdrawal for the Series H Preferred Stock and Series I Preferred Stock became effective upon their filing with the Secretary of State of the State of Nevada.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2025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“Closing Date”), the Company, in connection with a best efforts public offering (the “February Offering”), sold an aggregate of</w:t>
      </w:r>
    </w:p>
    <w:p>
      <w:pPr>
        <w:spacing w:after="0" w:line="27" w:lineRule="exact"/>
        <w:rPr>
          <w:sz w:val="20"/>
          <w:szCs w:val="20"/>
          <w:color w:val="auto"/>
        </w:rPr>
      </w:pPr>
    </w:p>
    <w:p>
      <w:pPr>
        <w:jc w:val="both"/>
        <w:ind w:firstLine="8"/>
        <w:spacing w:after="0" w:line="251" w:lineRule="auto"/>
        <w:tabs>
          <w:tab w:leader="none" w:pos="2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 units of the Company (the “Units”) at an offering price of $442.50 per Unit, consisting of (i) 3,014 shares of Common Stock, (ii) Series C warrants (the “Series C Warrants”) to purchase up to 3,014 shares of Common Stock, and (iii) Series D warrants (the “Series D Warrants”) to purchase up to 3,014 shares of Common Stock; and (y) 29,529 pre-funded units of the Company (the “Pre-Funded Units”) at an offering price $441.75 per Pre-Funded Unit, consisting of (i) pre-funded Common Stock purchase warrants exercisable for up to 29,529 shares of Common Stock at $0.75 per share (the “Pre-Funded Warrants”), (ii) Series C Warrants exercisable for up to 29,529 shares of Common Stock and (iii) Series D Warrants exercisable for up to 29,529 shares of Common Stock, pursuant to (a) the Company’s registration statement on Form S-1, as amended (File No. 333-284135), filed by the Company with the SEC under the Securities Act, which the SEC declared effective on February 14, 2025, (b) the Registration Statement on Form S-1MEF (File No. 333-284997), filed by the Company with the SEC on February 14, 2025 pursuant to Rule 462(b) of the Securities Act, and (c) securities purchase agreements, each dated February 18, 2025, between the Company and each of the purchasers signatory thereto (the “February Purchasers”). The Series D Warrants can be exercised on an alternate cashless basis which would result in holders receiving three (3) times the number of Common Stock if such election is made. On the Closing Date, the Company received gross proceeds of approximately $14.4 million, before deducting placement agent commissions and estimated February Offering expenses.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used the net proceeds from the February Offering for additional sales and marketing investments, working capital and other general corporate purposes. As of December 31, 2025, the February Purchasers exercised all of their Pre-Funded Warrants for an aggregate of 29,529 shares of Common Stock. In addition, the exercise price for the Series C Warrants and Series D Warrants were subject to an adjustment due to the Company obtaining stockholder approval for the issuance of the underlying shares on March 27, 2025 and the “October 28, 2025 Reverse Stock Split” (refer to Note 7), which resulted in a new exercise price of $1.17 per Series C Warrant share and $88.50 per Series D Warrant share and the number of shares of Common Stock issuable upon a cash exercise of such Warrants correspondingly increased to 12,347,781 shares and 244,070 shares for the Series C Warrants and Series D Warrants, respectively. As of December 31, 2025, the February Purchasers exercised all of their Series D Warrants and received 732,202 shares of Common Stock on an alternative cashless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AND REDEEMABLE PREFERRED STOCK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Redeemable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the Company authorized the Series C Redeemable Preferred Stock. Holders of Series C Redeemable Preferred Stock are entitled to receive dividends of 15% per year, payable in cash. For each of the three months ended March 31, 2026 and 2025, the Company recorded Series C Redeemable Preferred Stock dividends amounting to $75 thousand.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C Redeemable Preferred Stock may be redeemed by the Company at the Company’s option in cash at any time, in whole or in part, upon payment of the stated value of the Series C Redeemable Preferred Stock and unpaid dividends. If a “fundamental change” occurs, the Series C Redeemable Preferred Stock shall be immediately redeemed in cash equal to the stated value of the Series C Redeemable Preferred Stock, and unpaid dividends. A fundamental change includes but is not limited to any change in the ownership of at least fifty percent of the voting stock; liquidation or dissolution; or the Common Stock ceases to be listed on the market upon which it currently trades.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 of the Series C Redeemable Preferred Stock is entitled to vote on any matter submitted to the stockholders of the Company for a vote. One share of Series C Redeemable Preferred Stock carries the same voting rights as one share of Common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redeemable equity security is to be classified as temporary equity if it is conditionally redeemable upon the occurrence of an event that is not solely within the control of the issuer. Upon the determination that such events are probable, the equity security would be classified as a liability. Given the Series C Redeemable Preferred Stock contains a fundamental change provision, the security is considered conditionally redeemable. Therefore, the Company has classified the Series C Redeemable Preferred Stock as temporary equity in the balance sheets as of March 31, 2026 and December 31, 2025 until such time that events occur that indicate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warrants outstanding and exercisable as of March 31, 2026 and December 31, 2025:</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6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Outstanding and exercisable at January 1, 2026 </w:t>
      </w:r>
      <w:r>
        <w:rPr>
          <w:rFonts w:ascii="Times New Roman" w:cs="Times New Roman" w:eastAsia="Times New Roman" w:hAnsi="Times New Roman"/>
          <w:sz w:val="18"/>
          <w:szCs w:val="18"/>
          <w:color w:val="auto"/>
        </w:rPr>
        <w:t>Expired warrants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and exercisable at March 31, 2026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0"/>
        </w:trPr>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27"/>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12,396,491</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8"/>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2,437,500.00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12,396,490</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-504825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Stock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7, 2023, the Company’s stockholders approved the 2023 Stock Incentive Plan (“2023 Plan”). The aggregate maximum number of shares of Common Stock that may be issued under the 2023 Plan was 92 shares for the 2023 fiscal year; thereafter, the maximum number is limited to 15% of the outstanding shares of Common Stock, calculated on the first business day of each fiscal quarter. As of March 31, 2026, the maximum number of shares of Common Stock that may be issued under the 2023 Plan is 187,277. Under the 2023 Plan, options which are forfeited or terminated, settled in cash in lieu of shares of Common Stock, or settled in a manner such that shares are not issued, will again immediately become available to be issued. If shares of Common Stock are withheld from payment of an award to satisfy tax obligations with respect to the award, those shares of Common Stock will be treated as shares that have been issued under the 2023 Plan and will not again be available for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an aggregate of 700 stock options under the 2023 Plan, vesting over a period of four years to an employee with an exercise price of $0.70 per share in consideration for services provided to the Company. As of March 31, 2026, the unrecognized compensation cost related to non-vested stock options was $63.9 thousand.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issued 124 stock options vesting over a period of four years to employees with an exercise price of $1,125.00 per share. In addition, 36 fully vested stock options were granted to four non-employee directors at an exercise price of $1,125.00 per share. The aggregate fair value of the shares issued to the directors was $39.3 thousand. As of March 31, 2025, the unrecognized compensation cost related to non-vested stock options was $0.6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700 stock options were forfeited by participants under the 2023 Plan. During the three months ended March 31, 2025, 1 stock option was forfeited by participants and 1 stock option was cancelled under the 2023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no shares of restricted Common Stock under the 2023 Plan to employees and consultants, in accordance with the terms of the applicable employment and consulting agreements with the Company. The unamortized compensation cost as of March 31, 2026, related to all outstanding restricted stock was $0.4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250 shares of restricted Common Stock under the 2023 Plan to five employees and consultants, in accordance with the terms of the applicable employment and consulting agreements with the Company. Such shares vest over four years commencing on January 2, 2025, with a quarter to vest on the anniversary of the grant, and thereafter in quarterly amounts until the entire award has vested, so long as each remains in the service of the Company. The fair value of restricted stock granted was $0.3 million and the unamortized compensation cost as of March 31, 2025, related to all outstanding restricted stock was $0.4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awards unvested as of March 31, 2026 and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6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Unvested</w:t>
            </w:r>
          </w:p>
        </w:tc>
        <w:tc>
          <w:tcPr>
            <w:tcW w:w="6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6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(8,210)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5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Unvested</w:t>
            </w:r>
          </w:p>
        </w:tc>
        <w:tc>
          <w:tcPr>
            <w:tcW w:w="5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vMerge w:val="continue"/>
            <w:shd w:val="clear" w:color="auto" w:fill="CCEEFF"/>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INCENTIVE PLANS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Modification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had no cancellations resulting in a modification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cancelled 2 outstanding stock options under the 2023 Plan, the 2017 Stock Incentive Plan and the 2013 Long-Term Stock Incentive Plan and granted new stock options under the 2023 Plan which resulted in a new exercise price of $1,125.00 per share and the issuance of 116 stock options. The new stock options continued to vest based on the original vesting schedule that had been attributable to the cancelled stock options. This resulted in an incremental stock-based compensation expense of $69.4 thousand recorded as of the modification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during three months ended March 31, 2026 and 2025 pertaining to awards under the 2023 Plan amounted to $79.8 thousand and $0.5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and legal actions arising in the ordinary course of our business. There is no action, suit, proceeding, inquiry or investigation before or by any court, public board, government agency, self-regulatory organization or body pending or, to the knowledge of the executive officers of the Company, threatened against or affecting the Company, in which an adverse decision could have a material adverse effect upon our business, operating results,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warehouse space and equipment in the U.S., which are classified as operating leases expiring at various dates. The Company determines if an arrangement qualifies as a lease at the lease inception. Operating lease liabilities are recorded based on the present value of the future lease payments over the lease term, assessed as of the commencement date. The Company’s real estate lease is for a fulfillment center, with a lease term of 5 years expiring in August 2025. In April 2025, the Company signed a lease agreement to renew the lease for the warehouse space and equipment currently being leased, effective September 1, 2025, for a term of 5 years and monthly payments of $7,250. The Company has elected to account for the lease and non-lease components (insurance and property taxes) as a single lease component for its real estate leases. Lease payments, which includes lease components and non-lease components, are included in the measurement of the Company’s lease liabilities to the extent that such payments are either fixed amounts or variable amounts based on a rate or index (fixed in substance) as stipulated in the lease contract. Any actual costs in excess of such amounts are expensed as incurred as variable lease cost.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lease agreements generally do not specify an implicit borrowing rate, and as such, the Company uses its incremental borrowing rate to calculate the present value of the future lease payments. The discount rate represents a risk-adjusted rate on a secured basis and is the rate at which the Company would borrow funds to satisfy the scheduled lease liability payment streams. The Company entered into a renewal five-year lease agreement in April 2025 for the warehouse space located in Louisville, Kentucky. The Right of Use (“ROU”) asset value added as a result of this renewal lease agreement was $0.3 million. The Company’s ROU asset and lease liability accounts reflect the inclusion of this renewal lease in the Company’s balance sheet as of March 31, 2026. The current monthly rent of $7.3 thousand will increase by the annual 3% rate to the new monthly rent of $7.6 thousand in September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total operating lease cost was $32.3 thousand and was recorded in direct operating costs. Operating lease cost for the three months ended March 31, 2025 amounted to $19.2 thousand and was recorded in direct operating costs. Operating lease cost is recognized on a straight-line basis over the lease term. The following summarizes (i) the future minimum undiscounted lease payments under the non-cancelable lease for each of the next three years and thereafter, incorporating the practical expedient to account for lease and non-lease components as a single lease component for our existing real estate lease, (ii) a reconciliation of the undiscounted lease payments to the present value of the lease liabilities, and (iii) the lease-related account balances on the Company’s balance sheet as of March 31, 2026: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66,450</w:t>
            </w:r>
          </w:p>
        </w:tc>
        <w:tc>
          <w:tcPr>
            <w:tcW w:w="0" w:type="dxa"/>
            <w:vAlign w:val="bottom"/>
          </w:tcPr>
          <w:p>
            <w:pPr>
              <w:spacing w:after="0"/>
              <w:rPr>
                <w:sz w:val="1"/>
                <w:szCs w:val="1"/>
                <w:color w:val="auto"/>
              </w:rPr>
            </w:pPr>
          </w:p>
        </w:tc>
      </w:tr>
      <w:tr>
        <w:trPr>
          <w:trHeight w:val="216"/>
        </w:trPr>
        <w:tc>
          <w:tcPr>
            <w:tcW w:w="9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91,900</w:t>
            </w:r>
          </w:p>
        </w:tc>
        <w:tc>
          <w:tcPr>
            <w:tcW w:w="0" w:type="dxa"/>
            <w:vAlign w:val="bottom"/>
          </w:tcPr>
          <w:p>
            <w:pPr>
              <w:spacing w:after="0"/>
              <w:rPr>
                <w:sz w:val="1"/>
                <w:szCs w:val="1"/>
                <w:color w:val="auto"/>
              </w:rPr>
            </w:pPr>
          </w:p>
        </w:tc>
      </w:tr>
      <w:tr>
        <w:trPr>
          <w:trHeight w:val="216"/>
        </w:trPr>
        <w:tc>
          <w:tcPr>
            <w:tcW w:w="9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95,800</w:t>
            </w:r>
          </w:p>
        </w:tc>
        <w:tc>
          <w:tcPr>
            <w:tcW w:w="0" w:type="dxa"/>
            <w:vAlign w:val="bottom"/>
          </w:tcPr>
          <w:p>
            <w:pPr>
              <w:spacing w:after="0"/>
              <w:rPr>
                <w:sz w:val="1"/>
                <w:szCs w:val="1"/>
                <w:color w:val="auto"/>
              </w:rPr>
            </w:pPr>
          </w:p>
        </w:tc>
      </w:tr>
      <w:tr>
        <w:trPr>
          <w:trHeight w:val="216"/>
        </w:trPr>
        <w:tc>
          <w:tcPr>
            <w:tcW w:w="9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99,600</w:t>
            </w:r>
          </w:p>
        </w:tc>
        <w:tc>
          <w:tcPr>
            <w:tcW w:w="0" w:type="dxa"/>
            <w:vAlign w:val="bottom"/>
          </w:tcPr>
          <w:p>
            <w:pPr>
              <w:spacing w:after="0"/>
              <w:rPr>
                <w:sz w:val="1"/>
                <w:szCs w:val="1"/>
                <w:color w:val="auto"/>
              </w:rPr>
            </w:pPr>
          </w:p>
        </w:tc>
      </w:tr>
      <w:tr>
        <w:trPr>
          <w:trHeight w:val="249"/>
        </w:trPr>
        <w:tc>
          <w:tcPr>
            <w:tcW w:w="9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68,000</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421,750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(101,356)</w:t>
            </w:r>
          </w:p>
        </w:tc>
        <w:tc>
          <w:tcPr>
            <w:tcW w:w="0" w:type="dxa"/>
            <w:vAlign w:val="bottom"/>
          </w:tcPr>
          <w:p>
            <w:pPr>
              <w:spacing w:after="0"/>
              <w:rPr>
                <w:sz w:val="1"/>
                <w:szCs w:val="1"/>
                <w:color w:val="auto"/>
              </w:rPr>
            </w:pPr>
          </w:p>
        </w:tc>
      </w:tr>
      <w:tr>
        <w:trPr>
          <w:trHeight w:val="237"/>
        </w:trPr>
        <w:tc>
          <w:tcPr>
            <w:tcW w:w="100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present value of future minimum lease payments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320,394</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0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9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CCEEFF"/>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51,345</w:t>
            </w: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269,049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320,394</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0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Chia-Lin Simmons, the Company’s chief operating decision maker (“CODM”), on a consolidated basis. The CODM assesses performance and allocates resources based on the Company’s statements of operations, which assists the CODM to manage and evaluate the results of the business in a consolidated manner to drive efficiencies and develop uniform strategies. Accordingly, components and processes of the Company’s operations are managed centrally, including contracting with the government, capitalizing and developing new products or software, including releases, customer service, marketing, and legal affairs. Segment asset information is not used by the CODM to allocate resources or manage the business. Under this reporting structure, the Company has one reportable segment. As a single reportable segment entity, the Company’s segment performance measure is net loss attributable to Common Stockholders. Significant segment expenses are presented in the Company’s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three months ended March 31, 2026 should be read together with our condensed financial statements and related notes included elsewhere in this Quarterly Report on Form 10-Q for the three months ended March 31, 2026 (this “Form 10-Q”). This discussion and other disclosure in this Form 10-Q contain forward-looking statements and information relating to our business that reflect our current views and assumptions concerning future events and is subject to risks and uncertainties that may cause our or our industry’s actual results, levels of activity, performance, or achievements to be materially different from any future results, levels of activity, performance or achievements expressed or implied by these forward-looking statements. These forward-looking statements speak only as of the date of this Form 10-Q. Although we believe that the expectations reflected in the forward-looking statements are reasonable, we cannot guarantee future results, levels of activity, or achievements. Except as required by applicable law, including the securities laws of the United States, we expressly disclaim any obligation or undertaking to disseminate any update or revisions of any of the forward-looking statements to reflect any change in our expectations with regard thereto or to conform to these statements to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LogicMark, Inc. provides PERS, health communications devices, and Internet of Things technology that creates a connected care platform. The Company’s devices provide people with the ability to receive care at home and age independently and to check, manage and monitor a loved one’s health and safety remotely. The Company’s PERS devices incorporate two-way voice communication technology directly in the medical alert pendant and providing life-saving technology at a consumer-friendly price point aimed at everyday consumers. The Company is focused on modernizing remote monitoring to help people stay safe and live independently longer. The PERS technologies, as well as other personal safety devices, are sold direct to consumer through dealers and resellers, the Company’s eCommerce website (logicmark.com) and Amazon.com, as well as directly to the United States Veterans Health Administration. The Company was awarded a contract by the U.S. General Services Administration that enables the Company to distribute its products to federal, state, and local governments.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2026, compared with the three months ended March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Cost of Goods Sold, and Gross Profit</w:t>
            </w: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3,214,280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977,492</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946,597</w:t>
            </w:r>
          </w:p>
        </w:tc>
        <w:tc>
          <w:tcPr>
            <w:tcW w:w="0" w:type="dxa"/>
            <w:vAlign w:val="bottom"/>
          </w:tcPr>
          <w:p>
            <w:pPr>
              <w:spacing w:after="0"/>
              <w:rPr>
                <w:sz w:val="1"/>
                <w:szCs w:val="1"/>
                <w:color w:val="auto"/>
              </w:rPr>
            </w:pPr>
          </w:p>
        </w:tc>
      </w:tr>
      <w:tr>
        <w:trPr>
          <w:trHeight w:val="27"/>
        </w:trPr>
        <w:tc>
          <w:tcPr>
            <w:tcW w:w="4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vMerge w:val="continue"/>
            <w:shd w:val="clear" w:color="auto" w:fill="CCEEFF"/>
          </w:tcPr>
          <w:p>
            <w:pPr>
              <w:spacing w:after="0"/>
              <w:rPr>
                <w:sz w:val="21"/>
                <w:szCs w:val="21"/>
                <w:color w:val="auto"/>
              </w:rPr>
            </w:pPr>
          </w:p>
        </w:tc>
        <w:tc>
          <w:tcPr>
            <w:tcW w:w="4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2,236,788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1,645,227</w:t>
            </w:r>
          </w:p>
        </w:tc>
        <w:tc>
          <w:tcPr>
            <w:tcW w:w="0" w:type="dxa"/>
            <w:vAlign w:val="bottom"/>
          </w:tcPr>
          <w:p>
            <w:pPr>
              <w:spacing w:after="0"/>
              <w:rPr>
                <w:sz w:val="1"/>
                <w:szCs w:val="1"/>
                <w:color w:val="auto"/>
              </w:rPr>
            </w:pPr>
          </w:p>
        </w:tc>
      </w:tr>
      <w:tr>
        <w:trPr>
          <w:trHeight w:val="21"/>
        </w:trPr>
        <w:tc>
          <w:tcPr>
            <w:tcW w:w="4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60" w:type="dxa"/>
            <w:vAlign w:val="bottom"/>
            <w:vMerge w:val="continue"/>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637"/>
        </w:trPr>
        <w:tc>
          <w:tcPr>
            <w:tcW w:w="4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We experienced a 24% increase in revenue for the three months ended March 31, 2026, as compared to the same period ended March 31, 2025. The primary reason for the increase in revenue was due to continued higher sales of our Freedom Alert Mini units, and our upgraded Guardian Alert 911 Plus.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margin was 69.6% for the three months ended March 31, 2026, up from 63.5% for the three months ended March 31, 2025, as a result of a decrease in shipping and fulfillment costs and a price increase that was implemented in late January 2026.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gridSpan w:val="2"/>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operating cost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377,679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78,375</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174,590</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(96,215)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805,550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517,100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288,450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123,436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155,489</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(32,053)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1,728,733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2,269,504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(540,771)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49,611</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(33,330)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612,101</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499,425</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112,676</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59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3,742,155</w:t>
            </w: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4,009,345</w:t>
            </w:r>
          </w:p>
        </w:tc>
        <w:tc>
          <w:tcPr>
            <w:tcW w:w="2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(267,190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$34.1 thousand increase in direct operating cost for the three months ended March 31, 2026, compared to the same period ended March 31, 2025, was primarily driven by an increase in merchant fees due to higher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$96.2 thousand decrease in advertising costs for the three months ended March 31, 2026, compared to the same period ended March 31, 2025, was primarily driven by the shift away from sales to the business-to-consumer channel.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$0.3 million increase in selling and marketing expenses for the three months ended March 31, 2026, compared to the same period ended March 31, 2025, was primarily driven by an increase in sales personnel and their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$32.1 thousand decrease in research and development costs for the three months ended March 31, 2026, compared to the same period ended March 31, 2026, was primarily driven by lower consultant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$0.5 million decrease in general and administrative expense for the three months ended March 31, 2026 compared to the same period ended March 31, 2025, was primarily driven by a decrease in stock compensation due to fully vested stock options, lower consulting costs and lower legal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96,227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45,213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51,014</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(42,267)</w:t>
            </w:r>
          </w:p>
        </w:tc>
        <w:tc>
          <w:tcPr>
            <w:tcW w:w="3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127,919</w:t>
            </w:r>
          </w:p>
        </w:tc>
        <w:tc>
          <w:tcPr>
            <w:tcW w:w="3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(170,186)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0" w:type="dxa"/>
            <w:vAlign w:val="bottom"/>
          </w:tcPr>
          <w:p>
            <w:pPr>
              <w:spacing w:after="0" w:line="20" w:lineRule="exact"/>
              <w:rPr>
                <w:sz w:val="1"/>
                <w:szCs w:val="1"/>
                <w:color w:val="auto"/>
              </w:rPr>
            </w:pPr>
          </w:p>
        </w:tc>
      </w:tr>
      <w:tr>
        <w:trPr>
          <w:trHeight w:val="250"/>
        </w:trPr>
        <w:tc>
          <w:tcPr>
            <w:tcW w:w="59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53,960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173,132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(119,172</w:t>
            </w:r>
          </w:p>
        </w:tc>
        <w:tc>
          <w:tcPr>
            <w:tcW w:w="20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$96.2 thousand and $45.2 thousand, respectively, of interest income generated from its cash and investment balances. During the three months ended March 31, 2025, the Company recognized the receipt of a $0.1 million refund from the Internal Revenue Service in connection with its application of an employee retention credit for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an operating loss of $1.5 million, a net loss of $1.5 million and cash used in operating activities of $1.6 for the three months ended March 31, 2026. As of March 31, 2026, the Company had cash and cash equivalents of $2.1 million and investments of $5.4 million in U.S. government securities. At March 31, 2026, the Company had working capital of $8.4 million, compared to working capital as of December 31, 2025 of $9.7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cash and investment positions as of March 31, 2026, we believe we will have sufficient capital to sustain operations for at least twelve months from the date of the filing of our financial statements. We may, if deemed necessary, raise funds in the future through equity or debt offerings to further accelerate the execution of our long-term strategic plan to develop and commercialize our new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$1.6 million. During the three months ended March 31, 2025, net cash used in operating activities was $1.7 million. Apart from the $0.7 million and $1.0 million, for the three months ended March 31, 2026 and 2025, respectively, in depreciation, amortization and stock-based compensation, our primary ongoing uses of operating cash relate to payments to vendors, salaries and related expenses for our employees and consulting and professional fees. Our vendors and consultants generally provide us with normal trade payment terms of Net 30.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invested $0.3 million in product development and software development and purchased $1.2 million in U.S. government securities and sold/redeemed $1.8 million in U.S. government securities. During the three months ended March 31, 2025, we invested $0.2 million in software development and purchased $6.0 million investment in government securities.</w:t>
      </w:r>
    </w:p>
    <w:p>
      <w:pPr>
        <w:sectPr>
          <w:pgSz w:w="11900" w:h="16838" w:orient="portrait"/>
          <w:cols w:equalWidth="0" w:num="1">
            <w:col w:w="11240"/>
          </w:cols>
          <w:pgMar w:left="320" w:top="902" w:right="33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sale of common stock and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paid in connection with equity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from exercise of warrants for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C redeemable preferred stock dividends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040" w:val="left"/>
          <w:tab w:leader="none" w:pos="1320" w:val="left"/>
          <w:tab w:leader="none" w:pos="1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tab/>
        <w:t>14,377,835</w:t>
      </w:r>
    </w:p>
    <w:p>
      <w:pPr>
        <w:spacing w:after="0" w:line="27" w:lineRule="exact"/>
        <w:rPr>
          <w:sz w:val="20"/>
          <w:szCs w:val="20"/>
          <w:color w:val="auto"/>
        </w:rPr>
      </w:pPr>
    </w:p>
    <w:p>
      <w:pPr>
        <w:ind w:left="1680" w:hanging="611"/>
        <w:spacing w:after="0"/>
        <w:tabs>
          <w:tab w:leader="none" w:pos="1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(1,321,751)</w:t>
      </w:r>
    </w:p>
    <w:p>
      <w:pPr>
        <w:spacing w:after="0" w:line="9" w:lineRule="exact"/>
        <w:rPr>
          <w:rFonts w:ascii="Times New Roman" w:cs="Times New Roman" w:eastAsia="Times New Roman" w:hAnsi="Times New Roman"/>
          <w:sz w:val="18"/>
          <w:szCs w:val="18"/>
          <w:color w:val="auto"/>
        </w:rPr>
      </w:pPr>
    </w:p>
    <w:p>
      <w:pPr>
        <w:ind w:left="1960" w:hanging="891"/>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22,147</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(75,000)(75,000)</w:t>
      </w:r>
    </w:p>
    <w:p>
      <w:pPr>
        <w:spacing w:after="0" w:line="41" w:lineRule="exact"/>
        <w:rPr>
          <w:sz w:val="20"/>
          <w:szCs w:val="20"/>
          <w:color w:val="auto"/>
        </w:rPr>
      </w:pPr>
    </w:p>
    <w:p>
      <w:pPr>
        <w:spacing w:after="0"/>
        <w:tabs>
          <w:tab w:leader="none" w:pos="560" w:val="left"/>
          <w:tab w:leader="none" w:pos="1320" w:val="left"/>
          <w:tab w:leader="none" w:pos="16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(75,000)</w:t>
        <w:tab/>
        <w:t>$</w:t>
        <w:tab/>
        <w:t>13,003,231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53975</wp:posOffset>
            </wp:positionV>
            <wp:extent cx="16370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2" w:right="339" w:bottom="1440" w:gutter="0" w:footer="0" w:header="0"/>
          <w:type w:val="continuous"/>
        </w:sectPr>
      </w:pP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we paid Series C Redeemable Preferred Stock dividends amounting to $0.1 million each period. During the three months ended March 31, 2025, we completed a registered public offering of units and pre-funded units, consisting of Common Stock, warrants and pre-funded warrants, whereby we received gross proceeds of $14.4 million. The Company also received gross proceeds from the exercise of all Pre-Funded Warrants of $22.1 thousand. The February Offering and the exercise of Pre-funded Warrants resulted in a total of $1.3 million in fees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 and Tariffs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business has been modestly impacted by inflationary trends during the past four fiscal years. However, recent activity by the U.S. administration concerning tariffs and cost pressures coming from the war with Iran will likely increase our cost of fulfilment in fiscal year 2026. Should inflation continue to be a factor in the worldwide economy, it may increase the cost of purchasing products from our contract manufacturers in Asia, as well as the cost of certain raw materials, component parts and labor used in the production of our products. It is uncertain what impact new or existing tariffs, trade restrictions or retaliatory actions may have on us, the PERS industry or our customers. An escalation in trade tensions or the implementation of broader tariffs, trade restrictions or retaliatory measures on our products or components originating from countries outside the U.S. could adversely impact our ability to source necessary components, manufacture products at competitive cost, or sell our products at prices customers are willing to pay. We have been able to maintain our profit margins through selected price increases, higher productivity, better supply chain management, efficiency improvements, and through other cost reduction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In addition, we do not have any undisclosed borrowings or debt, and we have not entered into any synthetic leases. We are, therefore, not materially exposed to any financing, liquidity, market, or credit risk that could arise if we had engaged in such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our critical accounting policies and estimates during the three months ended March 31, 2026, from those disclosed in our Annual Report on Form 10-K for the year ended December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required to provide the information required by this Item 3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are required to perform an evaluation of our disclosure controls and procedures, as such term is defined in Rule 13a-15(e) under the Securities Exchange Act of 1934, as amended (the “Exchange Act”), as of March 31, 2026. Management has concluded that our disclosure controls and procedures were effective as of March 31, 2026 to provide reasonable assurance that information required to be disclosed by us in reports we file or submit under the Exchange Act is recorded, processed, summarized and reported within the time periods specified in the SEC’s rules and forms, and is accumulated and communicated to our management, including our principal executive officer and principal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March 31,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Effectiveness of Internal Control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but are not limited to, the realities that judgments in decision making can be faulty and that breakdowns can occur because of simple errors. Additionally, controls can be circumvented by the individual acts of a person,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subject to legal proceedings, claims, or litigation arising in the ordinary course of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Pr>
          <w:p>
            <w:pPr>
              <w:spacing w:after="0"/>
              <w:rPr>
                <w:sz w:val="21"/>
                <w:szCs w:val="21"/>
                <w:color w:val="auto"/>
              </w:rPr>
            </w:pPr>
          </w:p>
        </w:tc>
        <w:tc>
          <w:tcPr>
            <w:tcW w:w="9240" w:type="dxa"/>
            <w:vAlign w:val="bottom"/>
            <w:gridSpan w:val="4"/>
          </w:tcPr>
          <w:p>
            <w:pPr>
              <w:ind w:left="3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4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w:t>
            </w:r>
          </w:p>
        </w:tc>
        <w:tc>
          <w:tcPr>
            <w:tcW w:w="266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60" w:firstLine="8"/>
        <w:spacing w:after="0" w:line="489" w:lineRule="auto"/>
        <w:tabs>
          <w:tab w:leader="none" w:pos="11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In accordance with SEC Release 33-8238, Exhibits 32.1 and 32.2 are being furnished and not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tab/>
        <w:t>/s/ Chia-Lin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Chia-Lin Simmons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tab/>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Archer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Erica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Erica Torres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Chia-Lin Simmons, as the principal executive officer of the registrant,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LogicMark,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tab/>
        <w:t>/s/ Chia-Lin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Chia-Lin Simmons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7" w:name="page28"/>
    <w:bookmarkEnd w:id="2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Archer, as the principal financial officer of the registrant,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LogicMark,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Archer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LogicMark, Inc. (the “Company”) on Form 10-Q for the quarter ended March 31, 2026, as filed with the Securities and Exchange Commission on the date hereof (the “Report”), I, Chia-Lin Simmons, Chief Executive Officer of LogicMark, Inc.,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tab/>
        <w:t>/s/ Chia-Lin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Chia-Lin Simmons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LogicMark, Inc. (the “Company”) on Form 10-Q for the quarter ended March 31, 2026, as filed with the Securities and Exchange Commission on the date hereof (the “Report”), I, Mark Archer, Chief Financial Officer of LogicMark, Inc.,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tab/>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Archer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9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Roman"/>
      <w:start w:val="10"/>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2026-05-15T11:55:26Z</dcterms:created>
  <dcterms:modified xsi:type="dcterms:W3CDTF">2026-05-15T11:55:26Z</dcterms:modified>
</cp:coreProperties>
</file>